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0B1485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0B1485" w:rsidRPr="000B1485">
        <w:t xml:space="preserve"> </w:t>
      </w:r>
      <w:r w:rsidR="002746A9" w:rsidRPr="002746A9">
        <w:rPr>
          <w:rFonts w:ascii="Times New Roman" w:hAnsi="Times New Roman" w:cs="Times New Roman"/>
          <w:b/>
          <w:sz w:val="26"/>
          <w:szCs w:val="26"/>
          <w:lang w:val="uk-UA"/>
        </w:rPr>
        <w:t>UA-2023-02-13-012164-a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746A9" w:rsidRPr="002746A9" w:rsidRDefault="00C10052" w:rsidP="000B1485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2746A9" w:rsidRPr="002746A9">
        <w:rPr>
          <w:rFonts w:ascii="Times New Roman" w:hAnsi="Times New Roman" w:cs="Times New Roman"/>
          <w:sz w:val="26"/>
          <w:szCs w:val="26"/>
          <w:lang w:val="uk-UA"/>
        </w:rPr>
        <w:t>50610000-4: Послуги з ремонту і технічного обслуговування захисного обладнання</w:t>
      </w:r>
      <w:r w:rsidR="002746A9" w:rsidRPr="002746A9">
        <w:rPr>
          <w:lang w:val="uk-UA"/>
        </w:rPr>
        <w:t xml:space="preserve"> </w:t>
      </w:r>
      <w:r w:rsidR="002746A9">
        <w:rPr>
          <w:lang w:val="uk-UA"/>
        </w:rPr>
        <w:t>(</w:t>
      </w:r>
      <w:r w:rsidR="002746A9" w:rsidRPr="002746A9">
        <w:rPr>
          <w:rFonts w:ascii="Times New Roman" w:hAnsi="Times New Roman" w:cs="Times New Roman"/>
          <w:sz w:val="26"/>
          <w:szCs w:val="26"/>
          <w:lang w:val="uk-UA"/>
        </w:rPr>
        <w:t xml:space="preserve">Послуги з цілодобового спостереження за системами «Пожежна сигналізація, </w:t>
      </w:r>
      <w:proofErr w:type="spellStart"/>
      <w:r w:rsidR="002746A9" w:rsidRPr="002746A9">
        <w:rPr>
          <w:rFonts w:ascii="Times New Roman" w:hAnsi="Times New Roman" w:cs="Times New Roman"/>
          <w:sz w:val="26"/>
          <w:szCs w:val="26"/>
          <w:lang w:val="uk-UA"/>
        </w:rPr>
        <w:t>оповіщування</w:t>
      </w:r>
      <w:proofErr w:type="spellEnd"/>
      <w:r w:rsidR="002746A9" w:rsidRPr="002746A9">
        <w:rPr>
          <w:rFonts w:ascii="Times New Roman" w:hAnsi="Times New Roman" w:cs="Times New Roman"/>
          <w:sz w:val="26"/>
          <w:szCs w:val="26"/>
          <w:lang w:val="uk-UA"/>
        </w:rPr>
        <w:t xml:space="preserve"> про пожежу та управління евакуацією людей» на об’єктах Рівненського відділення ВП «Складське господарство» ДП «НАЕК «Енергоатом»</w:t>
      </w:r>
      <w:r w:rsidR="002746A9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8D0771" w:rsidRPr="000B1485" w:rsidRDefault="00F63F11" w:rsidP="000B1485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0B148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B1485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метою забезпечення </w:t>
      </w:r>
      <w:r w:rsidR="000B1485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0B1485" w:rsidRPr="000B1485">
        <w:rPr>
          <w:rFonts w:ascii="Times New Roman" w:hAnsi="Times New Roman" w:cs="Times New Roman"/>
          <w:sz w:val="26"/>
          <w:szCs w:val="26"/>
          <w:lang w:val="uk-UA"/>
        </w:rPr>
        <w:t>ослуги</w:t>
      </w:r>
      <w:r w:rsidR="002746A9" w:rsidRPr="002746A9">
        <w:rPr>
          <w:rFonts w:ascii="Times New Roman" w:hAnsi="Times New Roman" w:cs="Times New Roman"/>
          <w:sz w:val="26"/>
          <w:szCs w:val="26"/>
          <w:lang w:val="uk-UA"/>
        </w:rPr>
        <w:t xml:space="preserve"> з цілодобового спостереження за системами «Пожежна сигналізація, </w:t>
      </w:r>
      <w:proofErr w:type="spellStart"/>
      <w:r w:rsidR="002746A9" w:rsidRPr="002746A9">
        <w:rPr>
          <w:rFonts w:ascii="Times New Roman" w:hAnsi="Times New Roman" w:cs="Times New Roman"/>
          <w:sz w:val="26"/>
          <w:szCs w:val="26"/>
          <w:lang w:val="uk-UA"/>
        </w:rPr>
        <w:t>оповіщування</w:t>
      </w:r>
      <w:proofErr w:type="spellEnd"/>
      <w:r w:rsidR="002746A9" w:rsidRPr="002746A9">
        <w:rPr>
          <w:rFonts w:ascii="Times New Roman" w:hAnsi="Times New Roman" w:cs="Times New Roman"/>
          <w:sz w:val="26"/>
          <w:szCs w:val="26"/>
          <w:lang w:val="uk-UA"/>
        </w:rPr>
        <w:t xml:space="preserve"> про пожежу та управління евакуацією людей» на об’єктах Рівненського відділення ВП «Складське господарство» ДП «НАЕК «Енергоатом»</w:t>
      </w:r>
      <w:r w:rsidR="000B1485" w:rsidRPr="000B14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оголош</w:t>
      </w:r>
      <w:r w:rsidR="000B1485">
        <w:rPr>
          <w:rFonts w:ascii="Times New Roman" w:hAnsi="Times New Roman" w:cs="Times New Roman"/>
          <w:sz w:val="26"/>
          <w:szCs w:val="26"/>
          <w:lang w:val="uk-UA"/>
        </w:rPr>
        <w:t>ено відкриті торги на закупівлю</w:t>
      </w:r>
      <w:r w:rsidR="000B1485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B1485" w:rsidRPr="000B1485">
        <w:rPr>
          <w:rFonts w:ascii="Times New Roman" w:hAnsi="Times New Roman" w:cs="Times New Roman"/>
          <w:sz w:val="26"/>
          <w:szCs w:val="26"/>
          <w:lang w:val="uk-UA"/>
        </w:rPr>
        <w:t xml:space="preserve">згідно ДК 021:2015 </w:t>
      </w:r>
      <w:r w:rsidR="002746A9" w:rsidRPr="002746A9">
        <w:rPr>
          <w:rFonts w:ascii="Times New Roman" w:hAnsi="Times New Roman" w:cs="Times New Roman"/>
          <w:sz w:val="26"/>
          <w:szCs w:val="26"/>
          <w:lang w:val="uk-UA"/>
        </w:rPr>
        <w:t>50610000-4: Послуги з ремонту і технічного обслуговування захисного обладнання</w:t>
      </w:r>
    </w:p>
    <w:p w:rsidR="00A74D05" w:rsidRDefault="00A74D05" w:rsidP="008D077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2746A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746A9" w:rsidRPr="002746A9">
        <w:rPr>
          <w:rFonts w:ascii="Times New Roman" w:hAnsi="Times New Roman" w:cs="Times New Roman"/>
          <w:b/>
          <w:bCs/>
          <w:sz w:val="26"/>
          <w:szCs w:val="26"/>
          <w:lang w:val="uk-UA"/>
        </w:rPr>
        <w:t>36</w:t>
      </w:r>
      <w:r w:rsidR="002746A9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2746A9" w:rsidRPr="002746A9">
        <w:rPr>
          <w:rFonts w:ascii="Times New Roman" w:hAnsi="Times New Roman" w:cs="Times New Roman"/>
          <w:b/>
          <w:bCs/>
          <w:sz w:val="26"/>
          <w:szCs w:val="26"/>
          <w:lang w:val="uk-UA"/>
        </w:rPr>
        <w:t>138</w:t>
      </w:r>
      <w:r w:rsidR="002746A9">
        <w:rPr>
          <w:rFonts w:ascii="Times New Roman" w:hAnsi="Times New Roman" w:cs="Times New Roman"/>
          <w:b/>
          <w:bCs/>
          <w:sz w:val="26"/>
          <w:szCs w:val="26"/>
          <w:lang w:val="uk-UA"/>
        </w:rPr>
        <w:t>,00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746A9">
        <w:rPr>
          <w:rFonts w:ascii="Times New Roman" w:hAnsi="Times New Roman" w:cs="Times New Roman"/>
          <w:sz w:val="26"/>
          <w:szCs w:val="26"/>
          <w:lang w:val="uk-UA"/>
        </w:rPr>
        <w:t>тридцять шість тисяч сто тридцять вісім гривень 00 коп.</w:t>
      </w:r>
      <w:bookmarkStart w:id="0" w:name="_GoBack"/>
      <w:bookmarkEnd w:id="0"/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2746A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</w:p>
    <w:p w:rsidR="000B1485" w:rsidRPr="000B1485" w:rsidRDefault="002746A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46A9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https://prozorro.gov.ua/tender/UA-2023-02-13-012164-a</w:t>
      </w:r>
    </w:p>
    <w:p w:rsidR="00F42DF8" w:rsidRPr="002746A9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2746A9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F42DF8" w:rsidRPr="00F42DF8" w:rsidRDefault="00F42DF8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                  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B1485"/>
    <w:rsid w:val="002746A9"/>
    <w:rsid w:val="004C7CCF"/>
    <w:rsid w:val="004D3480"/>
    <w:rsid w:val="00610341"/>
    <w:rsid w:val="00827C35"/>
    <w:rsid w:val="008D0771"/>
    <w:rsid w:val="00A74D05"/>
    <w:rsid w:val="00A953FB"/>
    <w:rsid w:val="00BC437C"/>
    <w:rsid w:val="00C10052"/>
    <w:rsid w:val="00C16C52"/>
    <w:rsid w:val="00C830EB"/>
    <w:rsid w:val="00CB7B7D"/>
    <w:rsid w:val="00D74AB1"/>
    <w:rsid w:val="00DF0D39"/>
    <w:rsid w:val="00E43163"/>
    <w:rsid w:val="00E51E35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2023-02-14T13:58:00Z</cp:lastPrinted>
  <dcterms:created xsi:type="dcterms:W3CDTF">2023-02-14T13:59:00Z</dcterms:created>
  <dcterms:modified xsi:type="dcterms:W3CDTF">2023-02-14T13:59:00Z</dcterms:modified>
</cp:coreProperties>
</file>