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3C1100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6D1667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3C1100" w:rsidRPr="002A39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46D98" w:rsidRPr="00046D98">
        <w:rPr>
          <w:rFonts w:ascii="Times New Roman" w:hAnsi="Times New Roman" w:cs="Times New Roman"/>
          <w:b/>
          <w:sz w:val="26"/>
          <w:szCs w:val="26"/>
          <w:lang w:val="uk-UA"/>
        </w:rPr>
        <w:t>UA-2022-10-14-009323-a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2A397A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397A" w:rsidRPr="002A397A">
        <w:rPr>
          <w:rFonts w:ascii="Times New Roman" w:hAnsi="Times New Roman" w:cs="Times New Roman"/>
          <w:sz w:val="26"/>
          <w:szCs w:val="26"/>
          <w:lang w:val="uk-UA"/>
        </w:rPr>
        <w:t>45440000-3 — Фарбування та скління</w:t>
      </w:r>
      <w:r w:rsidR="002A397A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="00046D98" w:rsidRPr="00046D98">
        <w:rPr>
          <w:rFonts w:ascii="Times New Roman" w:hAnsi="Times New Roman" w:cs="Times New Roman"/>
          <w:sz w:val="26"/>
          <w:szCs w:val="26"/>
        </w:rPr>
        <w:t>Поточний</w:t>
      </w:r>
      <w:proofErr w:type="spellEnd"/>
      <w:r w:rsidR="00046D98" w:rsidRPr="00046D98">
        <w:rPr>
          <w:rFonts w:ascii="Times New Roman" w:hAnsi="Times New Roman" w:cs="Times New Roman"/>
          <w:sz w:val="26"/>
          <w:szCs w:val="26"/>
        </w:rPr>
        <w:t xml:space="preserve"> ремонт фасаду та </w:t>
      </w:r>
      <w:proofErr w:type="spellStart"/>
      <w:r w:rsidR="00046D98" w:rsidRPr="00046D98">
        <w:rPr>
          <w:rFonts w:ascii="Times New Roman" w:hAnsi="Times New Roman" w:cs="Times New Roman"/>
          <w:sz w:val="26"/>
          <w:szCs w:val="26"/>
        </w:rPr>
        <w:t>приміщення</w:t>
      </w:r>
      <w:proofErr w:type="spellEnd"/>
      <w:r w:rsidR="00046D98" w:rsidRPr="00046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D98" w:rsidRPr="00046D98">
        <w:rPr>
          <w:rFonts w:ascii="Times New Roman" w:hAnsi="Times New Roman" w:cs="Times New Roman"/>
          <w:sz w:val="26"/>
          <w:szCs w:val="26"/>
        </w:rPr>
        <w:t>майстерні</w:t>
      </w:r>
      <w:proofErr w:type="spellEnd"/>
      <w:r w:rsidR="00046D98" w:rsidRPr="00046D98">
        <w:rPr>
          <w:rFonts w:ascii="Times New Roman" w:hAnsi="Times New Roman" w:cs="Times New Roman"/>
          <w:sz w:val="26"/>
          <w:szCs w:val="26"/>
        </w:rPr>
        <w:t xml:space="preserve"> інв.№</w:t>
      </w:r>
      <w:proofErr w:type="gramStart"/>
      <w:r w:rsidR="00046D98" w:rsidRPr="00046D98">
        <w:rPr>
          <w:rFonts w:ascii="Times New Roman" w:hAnsi="Times New Roman" w:cs="Times New Roman"/>
          <w:sz w:val="26"/>
          <w:szCs w:val="26"/>
        </w:rPr>
        <w:t>2769 ХВ ВП СГ</w:t>
      </w:r>
      <w:r w:rsidR="002A397A" w:rsidRPr="002A397A">
        <w:rPr>
          <w:rFonts w:ascii="Times New Roman" w:hAnsi="Times New Roman" w:cs="Times New Roman"/>
          <w:bCs/>
          <w:sz w:val="26"/>
          <w:szCs w:val="26"/>
          <w:lang w:val="uk-UA"/>
        </w:rPr>
        <w:t>).</w:t>
      </w:r>
      <w:proofErr w:type="gramEnd"/>
    </w:p>
    <w:p w:rsidR="00DC1103" w:rsidRPr="00046D98" w:rsidRDefault="00F63F11" w:rsidP="00DC110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46D98" w:rsidRPr="00046D98">
        <w:rPr>
          <w:rFonts w:ascii="Times New Roman" w:hAnsi="Times New Roman" w:cs="Times New Roman"/>
          <w:bCs/>
          <w:sz w:val="26"/>
          <w:szCs w:val="26"/>
          <w:lang w:val="uk-UA"/>
        </w:rPr>
        <w:t>з метою покращення умов зберігання ТМЦ та забезпечення належної експлуатації будівель та споруд, захисту їх від несанкціонованого проникнення сторонніх осіб, забезпечення належних умов праці обслуговуючого персоналу, а також враховуючи акт загального весняного технічного огляду будівель та споруд, які знаходяться на балансі Хмельницького відділення ВП «Складське господарство» від 18.04.2022 року, було двічі оголошено відкриті торги н</w:t>
      </w:r>
      <w:r w:rsidR="00046D98">
        <w:rPr>
          <w:rFonts w:ascii="Times New Roman" w:hAnsi="Times New Roman" w:cs="Times New Roman"/>
          <w:bCs/>
          <w:sz w:val="26"/>
          <w:szCs w:val="26"/>
          <w:lang w:val="uk-UA"/>
        </w:rPr>
        <w:t>а закупівлю  поточного</w:t>
      </w:r>
      <w:r w:rsidR="00046D98" w:rsidRPr="00046D9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ремонт</w:t>
      </w:r>
      <w:r w:rsidR="00046D98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bookmarkStart w:id="0" w:name="_GoBack"/>
      <w:bookmarkEnd w:id="0"/>
      <w:r w:rsidR="00046D98" w:rsidRPr="00046D9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фасаду та приміщення майстерні інв.№2769 ХВ ВП СГ, однак вони були двічі відмінені від 18.08.2022 р. (UA-2022-08-02-001261-a) та  15.09.2022 р. (UA-2022-08-30-002831-a), внаслідок подання до участі менше двох тендерних пропозицій. Тому, відповідно до пункту 1 частини 2 статті 40 Закону України «Про публічні закупівлі» було прийняте рішення застосування переговорної процедури закупівлі.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830B2F" w:rsidRPr="00830B2F">
        <w:rPr>
          <w:b/>
          <w:bCs/>
          <w:lang w:val="uk-UA"/>
        </w:rPr>
        <w:t xml:space="preserve"> </w:t>
      </w:r>
      <w:r w:rsidR="00046D98" w:rsidRPr="00046D98">
        <w:rPr>
          <w:rFonts w:ascii="Times New Roman" w:hAnsi="Times New Roman" w:cs="Times New Roman"/>
          <w:b/>
          <w:bCs/>
          <w:sz w:val="26"/>
          <w:szCs w:val="26"/>
          <w:lang w:val="uk-UA"/>
        </w:rPr>
        <w:t>1 485 614,21</w:t>
      </w:r>
      <w:r w:rsidR="002A397A" w:rsidRPr="002A397A">
        <w:rPr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46D98">
        <w:rPr>
          <w:rFonts w:ascii="Times New Roman" w:hAnsi="Times New Roman" w:cs="Times New Roman"/>
          <w:sz w:val="26"/>
          <w:szCs w:val="26"/>
          <w:lang w:val="uk-UA"/>
        </w:rPr>
        <w:t>один мільйон чотириста вісімсот п’ять тисяч шістсот чотирнадцять гривень 21 копійка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3C1100" w:rsidRDefault="00046D9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46D98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https://prozorro.gov.ua/tender/UA-2022-10-14-009323-a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D1667" w:rsidRDefault="006D1667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6D166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46D98"/>
    <w:rsid w:val="000C2894"/>
    <w:rsid w:val="0016436E"/>
    <w:rsid w:val="002A397A"/>
    <w:rsid w:val="003C1100"/>
    <w:rsid w:val="004C7CCF"/>
    <w:rsid w:val="004D3480"/>
    <w:rsid w:val="004F5BE0"/>
    <w:rsid w:val="0053096E"/>
    <w:rsid w:val="00610341"/>
    <w:rsid w:val="00667DFC"/>
    <w:rsid w:val="006D1667"/>
    <w:rsid w:val="007455EC"/>
    <w:rsid w:val="007F5513"/>
    <w:rsid w:val="00827C35"/>
    <w:rsid w:val="00830B2F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5</cp:revision>
  <cp:lastPrinted>2022-10-19T06:32:00Z</cp:lastPrinted>
  <dcterms:created xsi:type="dcterms:W3CDTF">2022-10-19T05:57:00Z</dcterms:created>
  <dcterms:modified xsi:type="dcterms:W3CDTF">2022-10-19T06:32:00Z</dcterms:modified>
</cp:coreProperties>
</file>