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A54274" w:rsidRPr="00A54274">
        <w:rPr>
          <w:i/>
          <w:sz w:val="25"/>
          <w:szCs w:val="25"/>
          <w:lang w:val="uk-UA"/>
        </w:rPr>
        <w:t>https://prozorro.gov.ua/uk/tender/UA-2025-11-05-000706-a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A54274" w:rsidRPr="00A54274">
        <w:rPr>
          <w:i/>
          <w:sz w:val="25"/>
          <w:szCs w:val="25"/>
          <w:lang w:val="uk-UA"/>
        </w:rPr>
        <w:t>72720000-3 Послуги у сфері глобальних мереж (надання доступу до глобальної мережі Інтернет на об’єкті, який розташований у зоні відчуження)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A5427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155 552,16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грн. без ПДВ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</w:t>
      </w:r>
      <w:r w:rsidR="00A5427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к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рім того  ПДВ </w:t>
      </w:r>
      <w:r w:rsidR="00A5427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31 110,43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грн.  Всього з ПДВ </w:t>
      </w:r>
      <w:r w:rsidR="00A5427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186 662,59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966DB" w:rsidRPr="00C84B1F" w:rsidRDefault="00A54274" w:rsidP="00FA4DD8">
      <w:pPr>
        <w:jc w:val="both"/>
        <w:rPr>
          <w:i/>
          <w:color w:val="000000"/>
          <w:sz w:val="25"/>
          <w:szCs w:val="25"/>
          <w:lang w:val="uk-UA"/>
        </w:rPr>
      </w:pPr>
      <w:r>
        <w:rPr>
          <w:rFonts w:cs="Times New Roman"/>
          <w:i/>
          <w:szCs w:val="26"/>
          <w:lang w:val="uk-UA"/>
        </w:rPr>
        <w:t>Для</w:t>
      </w:r>
      <w:r>
        <w:rPr>
          <w:rFonts w:cs="Times New Roman"/>
          <w:b/>
          <w:szCs w:val="26"/>
          <w:lang w:val="uk-UA"/>
        </w:rPr>
        <w:t xml:space="preserve"> </w:t>
      </w:r>
      <w:r>
        <w:rPr>
          <w:rFonts w:cs="Times New Roman"/>
          <w:i/>
          <w:szCs w:val="26"/>
          <w:lang w:val="uk-UA"/>
        </w:rPr>
        <w:t xml:space="preserve">забезпечення організації телефонного зв’язку за допомогою </w:t>
      </w:r>
      <w:r>
        <w:rPr>
          <w:rFonts w:cs="Times New Roman"/>
          <w:i/>
          <w:szCs w:val="26"/>
          <w:lang w:val="en-US"/>
        </w:rPr>
        <w:t>IP</w:t>
      </w:r>
      <w:proofErr w:type="spellStart"/>
      <w:r>
        <w:rPr>
          <w:rFonts w:cs="Times New Roman"/>
          <w:i/>
          <w:szCs w:val="26"/>
          <w:lang w:val="uk-UA"/>
        </w:rPr>
        <w:t>-телефонії</w:t>
      </w:r>
      <w:proofErr w:type="spellEnd"/>
      <w:r>
        <w:rPr>
          <w:rFonts w:cs="Times New Roman"/>
          <w:i/>
          <w:szCs w:val="26"/>
          <w:lang w:val="uk-UA"/>
        </w:rPr>
        <w:t xml:space="preserve"> та організації єдиної телекомунікаційної мережі між об’єктом, який розташований у зоні відчуження території, що зазнала радіоактивного забруднення внаслідок Чорнобильської катастрофи, та основним адміністративним корпусом філії «</w:t>
      </w:r>
      <w:proofErr w:type="spellStart"/>
      <w:r>
        <w:rPr>
          <w:rFonts w:cs="Times New Roman"/>
          <w:i/>
          <w:szCs w:val="26"/>
          <w:lang w:val="uk-UA"/>
        </w:rPr>
        <w:t>ВП «Атомремонтсе</w:t>
      </w:r>
      <w:proofErr w:type="spellEnd"/>
      <w:r>
        <w:rPr>
          <w:rFonts w:cs="Times New Roman"/>
          <w:i/>
          <w:szCs w:val="26"/>
          <w:lang w:val="uk-UA"/>
        </w:rPr>
        <w:t xml:space="preserve">рвіс» необхідно забезпечити прямий гарантований необмежений доступ до мережі Інтернет по цифровому каналу. </w:t>
      </w:r>
      <w:proofErr w:type="spellStart"/>
      <w:r>
        <w:rPr>
          <w:rFonts w:cs="Times New Roman"/>
          <w:i/>
          <w:szCs w:val="26"/>
        </w:rPr>
        <w:t>Швидкість</w:t>
      </w:r>
      <w:proofErr w:type="spellEnd"/>
      <w:r>
        <w:rPr>
          <w:rFonts w:cs="Times New Roman"/>
          <w:i/>
          <w:szCs w:val="26"/>
        </w:rPr>
        <w:t xml:space="preserve"> доступу </w:t>
      </w:r>
      <w:proofErr w:type="gramStart"/>
      <w:r>
        <w:rPr>
          <w:rFonts w:cs="Times New Roman"/>
          <w:i/>
          <w:szCs w:val="26"/>
        </w:rPr>
        <w:t>до</w:t>
      </w:r>
      <w:proofErr w:type="gramEnd"/>
      <w:r>
        <w:rPr>
          <w:rFonts w:cs="Times New Roman"/>
          <w:i/>
          <w:szCs w:val="26"/>
        </w:rPr>
        <w:t xml:space="preserve"> </w:t>
      </w:r>
      <w:proofErr w:type="spellStart"/>
      <w:proofErr w:type="gramStart"/>
      <w:r>
        <w:rPr>
          <w:rFonts w:cs="Times New Roman"/>
          <w:i/>
          <w:szCs w:val="26"/>
        </w:rPr>
        <w:t>ресурс</w:t>
      </w:r>
      <w:proofErr w:type="gramEnd"/>
      <w:r>
        <w:rPr>
          <w:rFonts w:cs="Times New Roman"/>
          <w:i/>
          <w:szCs w:val="26"/>
        </w:rPr>
        <w:t>ів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Інтернет</w:t>
      </w:r>
      <w:proofErr w:type="spellEnd"/>
      <w:r>
        <w:rPr>
          <w:rFonts w:cs="Times New Roman"/>
          <w:i/>
          <w:szCs w:val="26"/>
        </w:rPr>
        <w:t xml:space="preserve"> не </w:t>
      </w:r>
      <w:proofErr w:type="spellStart"/>
      <w:r>
        <w:rPr>
          <w:rFonts w:cs="Times New Roman"/>
          <w:i/>
          <w:szCs w:val="26"/>
        </w:rPr>
        <w:t>менш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ніж</w:t>
      </w:r>
      <w:proofErr w:type="spellEnd"/>
      <w:r>
        <w:rPr>
          <w:rFonts w:cs="Times New Roman"/>
          <w:i/>
          <w:szCs w:val="26"/>
        </w:rPr>
        <w:t xml:space="preserve"> 100 </w:t>
      </w:r>
      <w:proofErr w:type="spellStart"/>
      <w:r>
        <w:rPr>
          <w:rFonts w:cs="Times New Roman"/>
          <w:i/>
          <w:szCs w:val="26"/>
        </w:rPr>
        <w:t>Мбіт</w:t>
      </w:r>
      <w:proofErr w:type="spellEnd"/>
      <w:r>
        <w:rPr>
          <w:rFonts w:cs="Times New Roman"/>
          <w:i/>
          <w:szCs w:val="26"/>
        </w:rPr>
        <w:t xml:space="preserve">/с в </w:t>
      </w:r>
      <w:proofErr w:type="spellStart"/>
      <w:r>
        <w:rPr>
          <w:rFonts w:cs="Times New Roman"/>
          <w:i/>
          <w:szCs w:val="26"/>
        </w:rPr>
        <w:t>обох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напрямках</w:t>
      </w:r>
      <w:proofErr w:type="spellEnd"/>
      <w:r>
        <w:rPr>
          <w:rFonts w:cs="Times New Roman"/>
          <w:i/>
          <w:szCs w:val="26"/>
        </w:rPr>
        <w:t xml:space="preserve">, без </w:t>
      </w:r>
      <w:proofErr w:type="spellStart"/>
      <w:r>
        <w:rPr>
          <w:rFonts w:cs="Times New Roman"/>
          <w:i/>
          <w:szCs w:val="26"/>
        </w:rPr>
        <w:t>обмеження</w:t>
      </w:r>
      <w:proofErr w:type="spellEnd"/>
      <w:r>
        <w:rPr>
          <w:rFonts w:cs="Times New Roman"/>
          <w:i/>
          <w:szCs w:val="26"/>
        </w:rPr>
        <w:t xml:space="preserve"> по часу та </w:t>
      </w:r>
      <w:proofErr w:type="spellStart"/>
      <w:r>
        <w:rPr>
          <w:rFonts w:cs="Times New Roman"/>
          <w:i/>
          <w:szCs w:val="26"/>
        </w:rPr>
        <w:t>об’єму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переданої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інформації</w:t>
      </w:r>
      <w:proofErr w:type="spellEnd"/>
      <w:r>
        <w:rPr>
          <w:rFonts w:cs="Times New Roman"/>
          <w:i/>
          <w:szCs w:val="26"/>
        </w:rPr>
        <w:t xml:space="preserve"> та з параметрами </w:t>
      </w:r>
      <w:proofErr w:type="spellStart"/>
      <w:r>
        <w:rPr>
          <w:rFonts w:cs="Times New Roman"/>
          <w:i/>
          <w:szCs w:val="26"/>
        </w:rPr>
        <w:t>якості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послуг</w:t>
      </w:r>
      <w:proofErr w:type="spellEnd"/>
      <w:r>
        <w:rPr>
          <w:rFonts w:cs="Times New Roman"/>
          <w:i/>
          <w:szCs w:val="26"/>
        </w:rPr>
        <w:t xml:space="preserve"> доступу до </w:t>
      </w:r>
      <w:proofErr w:type="spellStart"/>
      <w:r>
        <w:rPr>
          <w:rFonts w:cs="Times New Roman"/>
          <w:i/>
          <w:szCs w:val="26"/>
        </w:rPr>
        <w:t>Інтернету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згідно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вимог</w:t>
      </w:r>
      <w:proofErr w:type="spellEnd"/>
      <w:r>
        <w:rPr>
          <w:rFonts w:cs="Times New Roman"/>
          <w:i/>
          <w:szCs w:val="26"/>
        </w:rPr>
        <w:t xml:space="preserve"> ДСТУ ETSI EG 202 057</w:t>
      </w:r>
      <w:r>
        <w:rPr>
          <w:rFonts w:cs="Times New Roman"/>
          <w:i/>
          <w:szCs w:val="26"/>
        </w:rPr>
        <w:noBreakHyphen/>
        <w:t>4:2015</w:t>
      </w:r>
      <w:bookmarkStart w:id="5" w:name="_GoBack"/>
      <w:bookmarkEnd w:id="5"/>
    </w:p>
    <w:sectPr w:rsidR="005966DB" w:rsidRPr="00C84B1F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274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617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D14A-7F78-44D7-87E0-055366DD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231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90</cp:revision>
  <cp:lastPrinted>2024-03-13T12:39:00Z</cp:lastPrinted>
  <dcterms:created xsi:type="dcterms:W3CDTF">2024-03-13T12:39:00Z</dcterms:created>
  <dcterms:modified xsi:type="dcterms:W3CDTF">2025-11-05T07:06:00Z</dcterms:modified>
</cp:coreProperties>
</file>