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7D3D32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7D3D32">
        <w:rPr>
          <w:sz w:val="26"/>
          <w:szCs w:val="26"/>
          <w:lang w:val="uk-UA"/>
        </w:rPr>
        <w:t xml:space="preserve"> </w:t>
      </w:r>
      <w:r w:rsidR="00126932" w:rsidRPr="007D3D32">
        <w:rPr>
          <w:i/>
          <w:sz w:val="26"/>
          <w:szCs w:val="26"/>
          <w:lang w:val="uk-UA"/>
        </w:rPr>
        <w:t>філія</w:t>
      </w:r>
      <w:r w:rsidR="00126932" w:rsidRPr="007D3D32">
        <w:rPr>
          <w:sz w:val="26"/>
          <w:szCs w:val="26"/>
          <w:lang w:val="uk-UA"/>
        </w:rPr>
        <w:t xml:space="preserve"> «</w:t>
      </w:r>
      <w:r w:rsidR="00126932" w:rsidRPr="007D3D32">
        <w:rPr>
          <w:i/>
          <w:sz w:val="26"/>
          <w:szCs w:val="26"/>
          <w:lang w:val="uk-UA"/>
        </w:rPr>
        <w:t>ВП </w:t>
      </w:r>
      <w:r w:rsidRPr="007D3D32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7D3D32">
        <w:rPr>
          <w:i/>
          <w:sz w:val="26"/>
          <w:szCs w:val="26"/>
          <w:lang w:val="uk-UA"/>
        </w:rPr>
        <w:t>АТ </w:t>
      </w:r>
      <w:r w:rsidRPr="007D3D32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7D3D32">
        <w:rPr>
          <w:i/>
          <w:sz w:val="26"/>
          <w:szCs w:val="26"/>
          <w:lang w:val="uk-UA"/>
        </w:rPr>
        <w:t>, код ЄДРПОУ</w:t>
      </w:r>
      <w:r w:rsidR="00F30944" w:rsidRPr="007D3D32">
        <w:rPr>
          <w:b/>
          <w:sz w:val="26"/>
          <w:szCs w:val="26"/>
          <w:lang w:val="uk-UA"/>
        </w:rPr>
        <w:t xml:space="preserve"> </w:t>
      </w:r>
      <w:r w:rsidR="00F30944" w:rsidRPr="007D3D32">
        <w:rPr>
          <w:i/>
          <w:sz w:val="26"/>
          <w:szCs w:val="26"/>
          <w:lang w:val="uk-UA"/>
        </w:rPr>
        <w:t>25881800</w:t>
      </w:r>
      <w:r w:rsidRPr="007D3D32">
        <w:rPr>
          <w:i/>
          <w:sz w:val="26"/>
          <w:szCs w:val="26"/>
          <w:lang w:val="uk-UA"/>
        </w:rPr>
        <w:t>.</w:t>
      </w:r>
    </w:p>
    <w:p w:rsidR="009D5859" w:rsidRPr="007D3D32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7D3D32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7D3D32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7D3D32">
        <w:rPr>
          <w:i/>
          <w:sz w:val="26"/>
          <w:szCs w:val="26"/>
          <w:lang w:val="uk-UA"/>
        </w:rPr>
        <w:t>https://prozorro.gov.ua/uk/tender/UA-2025-</w:t>
      </w:r>
      <w:r w:rsidR="00FA4DD8" w:rsidRPr="007D3D32">
        <w:rPr>
          <w:i/>
          <w:sz w:val="26"/>
          <w:szCs w:val="26"/>
          <w:lang w:val="uk-UA"/>
        </w:rPr>
        <w:t>10</w:t>
      </w:r>
      <w:r w:rsidR="004463BB" w:rsidRPr="007D3D32">
        <w:rPr>
          <w:i/>
          <w:sz w:val="26"/>
          <w:szCs w:val="26"/>
          <w:lang w:val="uk-UA"/>
        </w:rPr>
        <w:t>-</w:t>
      </w:r>
      <w:r w:rsidR="00552116" w:rsidRPr="007D3D32">
        <w:rPr>
          <w:i/>
          <w:sz w:val="26"/>
          <w:szCs w:val="26"/>
          <w:lang w:val="uk-UA"/>
        </w:rPr>
        <w:t>2</w:t>
      </w:r>
      <w:r w:rsidR="007D3D32" w:rsidRPr="007D3D32">
        <w:rPr>
          <w:i/>
          <w:sz w:val="26"/>
          <w:szCs w:val="26"/>
          <w:lang w:val="uk-UA"/>
        </w:rPr>
        <w:t>2</w:t>
      </w:r>
      <w:r w:rsidR="004463BB" w:rsidRPr="007D3D32">
        <w:rPr>
          <w:i/>
          <w:sz w:val="26"/>
          <w:szCs w:val="26"/>
          <w:lang w:val="uk-UA"/>
        </w:rPr>
        <w:t>-</w:t>
      </w:r>
      <w:r w:rsidR="00FA4DD8" w:rsidRPr="007D3D32">
        <w:rPr>
          <w:i/>
          <w:sz w:val="26"/>
          <w:szCs w:val="26"/>
          <w:lang w:val="uk-UA"/>
        </w:rPr>
        <w:t>0</w:t>
      </w:r>
      <w:r w:rsidR="00552116" w:rsidRPr="007D3D32">
        <w:rPr>
          <w:i/>
          <w:sz w:val="26"/>
          <w:szCs w:val="26"/>
          <w:lang w:val="uk-UA"/>
        </w:rPr>
        <w:t>1</w:t>
      </w:r>
      <w:r w:rsidR="007D3D32" w:rsidRPr="007D3D32">
        <w:rPr>
          <w:i/>
          <w:sz w:val="26"/>
          <w:szCs w:val="26"/>
          <w:lang w:val="uk-UA"/>
        </w:rPr>
        <w:t>1214</w:t>
      </w:r>
      <w:r w:rsidR="004463BB" w:rsidRPr="007D3D32">
        <w:rPr>
          <w:i/>
          <w:sz w:val="26"/>
          <w:szCs w:val="26"/>
          <w:lang w:val="uk-UA"/>
        </w:rPr>
        <w:t>-a</w:t>
      </w:r>
      <w:r w:rsidR="00032D0A" w:rsidRPr="007D3D32">
        <w:rPr>
          <w:i/>
          <w:sz w:val="26"/>
          <w:szCs w:val="26"/>
          <w:lang w:val="uk-UA"/>
        </w:rPr>
        <w:t>.</w:t>
      </w:r>
    </w:p>
    <w:p w:rsidR="009D5859" w:rsidRPr="007D3D32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7D3D32">
        <w:rPr>
          <w:b/>
          <w:sz w:val="26"/>
          <w:szCs w:val="26"/>
          <w:lang w:val="uk-UA"/>
        </w:rPr>
        <w:t>3</w:t>
      </w:r>
      <w:r w:rsidR="009D5859" w:rsidRPr="007D3D32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7D3D32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7D3D32">
        <w:rPr>
          <w:i/>
          <w:sz w:val="26"/>
          <w:szCs w:val="26"/>
          <w:lang w:val="uk-UA"/>
        </w:rPr>
        <w:t xml:space="preserve">ДК 021:2015 код </w:t>
      </w:r>
      <w:r w:rsidR="007D3D32" w:rsidRPr="007D3D32">
        <w:rPr>
          <w:i/>
          <w:sz w:val="26"/>
          <w:szCs w:val="26"/>
          <w:lang w:val="uk-UA"/>
        </w:rPr>
        <w:t>38430000-8 Детектори та аналізатори (</w:t>
      </w:r>
      <w:proofErr w:type="spellStart"/>
      <w:r w:rsidR="007D3D32" w:rsidRPr="007D3D32">
        <w:rPr>
          <w:i/>
          <w:sz w:val="26"/>
          <w:szCs w:val="26"/>
          <w:lang w:val="uk-UA"/>
        </w:rPr>
        <w:t>Течешукач</w:t>
      </w:r>
      <w:proofErr w:type="spellEnd"/>
      <w:r w:rsidR="007D3D32" w:rsidRPr="007D3D32">
        <w:rPr>
          <w:i/>
          <w:sz w:val="26"/>
          <w:szCs w:val="26"/>
          <w:lang w:val="uk-UA"/>
        </w:rPr>
        <w:t>)</w:t>
      </w:r>
      <w:r w:rsidR="0036790A" w:rsidRPr="007D3D32">
        <w:rPr>
          <w:i/>
          <w:sz w:val="26"/>
          <w:szCs w:val="26"/>
          <w:lang w:val="uk-UA"/>
        </w:rPr>
        <w:t>.</w:t>
      </w:r>
    </w:p>
    <w:p w:rsidR="00345566" w:rsidRPr="007D3D32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7D3D32">
        <w:rPr>
          <w:rFonts w:cs="Times New Roman"/>
          <w:b/>
          <w:kern w:val="0"/>
          <w:szCs w:val="26"/>
          <w:lang w:val="uk-UA"/>
        </w:rPr>
        <w:t>4</w:t>
      </w:r>
      <w:r w:rsidR="009D5859" w:rsidRPr="007D3D32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7D3D32">
        <w:rPr>
          <w:rFonts w:cs="Times New Roman"/>
          <w:b/>
          <w:kern w:val="0"/>
          <w:szCs w:val="26"/>
          <w:lang w:val="uk-UA"/>
        </w:rPr>
        <w:t xml:space="preserve">: </w:t>
      </w:r>
      <w:r w:rsidR="007D3D32" w:rsidRPr="007D3D32">
        <w:rPr>
          <w:i/>
          <w:szCs w:val="26"/>
          <w:lang w:val="uk-UA"/>
        </w:rPr>
        <w:t>10 208,05 грн без ПДВ, ПДВ 20% 2041,61</w:t>
      </w:r>
      <w:r w:rsidR="007D3D32" w:rsidRPr="007D3D32">
        <w:rPr>
          <w:i/>
          <w:szCs w:val="26"/>
          <w:lang w:val="uk-UA"/>
        </w:rPr>
        <w:t xml:space="preserve"> </w:t>
      </w:r>
      <w:r w:rsidR="00552116" w:rsidRPr="007D3D32">
        <w:rPr>
          <w:i/>
          <w:szCs w:val="26"/>
          <w:lang w:val="uk-UA" w:eastAsia="uk-UA"/>
        </w:rPr>
        <w:t xml:space="preserve">грн, </w:t>
      </w:r>
      <w:r w:rsidR="00552116" w:rsidRPr="007D3D32">
        <w:rPr>
          <w:i/>
          <w:szCs w:val="26"/>
          <w:lang w:val="uk-UA" w:eastAsia="uk-UA"/>
        </w:rPr>
        <w:br/>
      </w:r>
      <w:r w:rsidR="007D3D32" w:rsidRPr="007D3D32">
        <w:rPr>
          <w:i/>
          <w:szCs w:val="26"/>
          <w:lang w:val="uk-UA"/>
        </w:rPr>
        <w:t>12 249,66</w:t>
      </w:r>
      <w:r w:rsidR="00552116" w:rsidRPr="007D3D32">
        <w:rPr>
          <w:i/>
          <w:szCs w:val="26"/>
          <w:lang w:val="uk-UA" w:eastAsia="uk-UA"/>
        </w:rPr>
        <w:t xml:space="preserve"> грн. з ПДВ</w:t>
      </w:r>
      <w:r w:rsidR="004D6665" w:rsidRPr="007D3D32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7D3D32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7D3D32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7D3D32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7D3D32">
        <w:rPr>
          <w:b/>
          <w:sz w:val="26"/>
          <w:szCs w:val="26"/>
          <w:lang w:val="uk-UA"/>
        </w:rPr>
        <w:t>5</w:t>
      </w:r>
      <w:r w:rsidR="009D5859" w:rsidRPr="007D3D32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7D3D32">
        <w:rPr>
          <w:sz w:val="26"/>
          <w:szCs w:val="26"/>
          <w:lang w:val="uk-UA"/>
        </w:rPr>
        <w:t xml:space="preserve"> </w:t>
      </w:r>
      <w:r w:rsidR="009D5859" w:rsidRPr="007D3D32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7D3D32">
        <w:rPr>
          <w:b/>
          <w:sz w:val="26"/>
          <w:szCs w:val="26"/>
          <w:lang w:val="uk-UA"/>
        </w:rPr>
        <w:t>:</w:t>
      </w:r>
      <w:r w:rsidR="00B628B0" w:rsidRPr="007D3D32">
        <w:rPr>
          <w:sz w:val="26"/>
          <w:szCs w:val="26"/>
          <w:lang w:val="uk-UA"/>
        </w:rPr>
        <w:t xml:space="preserve"> </w:t>
      </w:r>
      <w:r w:rsidR="00032D0A" w:rsidRPr="007D3D32">
        <w:rPr>
          <w:b/>
          <w:sz w:val="26"/>
          <w:szCs w:val="26"/>
          <w:lang w:val="uk-UA"/>
        </w:rPr>
        <w:t>інші документи):</w:t>
      </w:r>
      <w:r w:rsidR="00032D0A" w:rsidRPr="007D3D32">
        <w:rPr>
          <w:i/>
          <w:sz w:val="26"/>
          <w:szCs w:val="26"/>
          <w:lang w:val="uk-UA"/>
        </w:rPr>
        <w:t xml:space="preserve"> </w:t>
      </w:r>
    </w:p>
    <w:p w:rsidR="005966DB" w:rsidRPr="007D3D32" w:rsidRDefault="00552116" w:rsidP="007D3D32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  <w:r w:rsidRPr="007D3D32">
        <w:rPr>
          <w:i/>
          <w:szCs w:val="26"/>
          <w:lang w:val="uk-UA"/>
        </w:rPr>
        <w:tab/>
      </w:r>
      <w:r w:rsidR="007D3D32" w:rsidRPr="007D3D32">
        <w:rPr>
          <w:i/>
          <w:szCs w:val="26"/>
          <w:lang w:val="uk-UA"/>
        </w:rPr>
        <w:t xml:space="preserve">Потреба у закупівлі </w:t>
      </w:r>
      <w:proofErr w:type="spellStart"/>
      <w:r w:rsidR="007D3D32" w:rsidRPr="007D3D32">
        <w:rPr>
          <w:i/>
          <w:szCs w:val="26"/>
          <w:lang w:val="uk-UA"/>
        </w:rPr>
        <w:t>течешукача</w:t>
      </w:r>
      <w:proofErr w:type="spellEnd"/>
      <w:r w:rsidR="007D3D32" w:rsidRPr="007D3D32">
        <w:rPr>
          <w:i/>
          <w:szCs w:val="26"/>
          <w:lang w:val="uk-UA"/>
        </w:rPr>
        <w:t xml:space="preserve"> є необхідною умовою для проведення спеціальної підготовки та складання кваліфікаційних іспитів персоналу з неруйнівного контролю філій ВП АЕС для подальшої його сертифікації з методу контроль герметичності. Технічні та якісні характеристики запропонованого </w:t>
      </w:r>
      <w:proofErr w:type="spellStart"/>
      <w:r w:rsidR="007D3D32" w:rsidRPr="007D3D32">
        <w:rPr>
          <w:i/>
          <w:szCs w:val="26"/>
          <w:lang w:val="uk-UA"/>
        </w:rPr>
        <w:t>течешукача</w:t>
      </w:r>
      <w:proofErr w:type="spellEnd"/>
      <w:r w:rsidR="007D3D32" w:rsidRPr="007D3D32">
        <w:rPr>
          <w:i/>
          <w:szCs w:val="26"/>
          <w:lang w:val="uk-UA"/>
        </w:rPr>
        <w:t xml:space="preserve"> відповідають вимогам EN 14624:2020 «Ефективність портативних детекторів витоку та стаціонарних детекторів газу для всіх холодоагентів», що гарантує здатність пристрою виявляти всі типи холодоагентів (CFC, HCFC, HFC). </w:t>
      </w:r>
      <w:proofErr w:type="spellStart"/>
      <w:r w:rsidR="007D3D32" w:rsidRPr="007D3D32">
        <w:rPr>
          <w:i/>
          <w:szCs w:val="26"/>
          <w:lang w:val="uk-UA"/>
        </w:rPr>
        <w:t>Течешукач</w:t>
      </w:r>
      <w:proofErr w:type="spellEnd"/>
      <w:r w:rsidR="007D3D32" w:rsidRPr="007D3D32">
        <w:rPr>
          <w:i/>
          <w:szCs w:val="26"/>
          <w:lang w:val="uk-UA"/>
        </w:rPr>
        <w:t xml:space="preserve"> із заявленими характеристиками має перевагу над більшістю ринкових аналогів за критерієм «ціна/якість». Наявність трьох рівнів чутливості дозволяє ефективно локалізувати витоки з різною концентрацією, а п’ять рівнів виявлення витоку забезпечують високу точність діагностики.</w:t>
      </w:r>
      <w:r w:rsidR="007D3D32" w:rsidRPr="007D3D32">
        <w:rPr>
          <w:szCs w:val="26"/>
          <w:lang w:val="uk-UA"/>
        </w:rPr>
        <w:t xml:space="preserve"> </w:t>
      </w:r>
      <w:r w:rsidR="007D3D32" w:rsidRPr="007D3D32">
        <w:rPr>
          <w:i/>
          <w:szCs w:val="26"/>
          <w:lang w:val="uk-UA"/>
        </w:rPr>
        <w:t>Максимальна чутливість пристрою становить 2,8 грам/рік, що дозволяє виявляти навіть мінімальні витоки. Гнучкий зонд довжиною до 45 см забезпечує доступ до важкодоступних ділянок обладнання, а живлення від двох батарейок типу C дозволяє працювати д</w:t>
      </w:r>
      <w:bookmarkStart w:id="5" w:name="_GoBack"/>
      <w:bookmarkEnd w:id="5"/>
      <w:r w:rsidR="007D3D32" w:rsidRPr="007D3D32">
        <w:rPr>
          <w:i/>
          <w:szCs w:val="26"/>
          <w:lang w:val="uk-UA"/>
        </w:rPr>
        <w:t>о 20 годин безперервно</w:t>
      </w:r>
      <w:r w:rsidRPr="007D3D32">
        <w:rPr>
          <w:i/>
          <w:color w:val="000000"/>
          <w:szCs w:val="26"/>
          <w:lang w:val="uk-UA"/>
        </w:rPr>
        <w:t>.</w:t>
      </w:r>
    </w:p>
    <w:sectPr w:rsidR="005966DB" w:rsidRPr="007D3D32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3"/>
  </w:num>
  <w:num w:numId="22">
    <w:abstractNumId w:val="17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986CC-380A-4ACA-9EC3-189DD1FE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263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93</cp:revision>
  <cp:lastPrinted>2024-03-13T12:39:00Z</cp:lastPrinted>
  <dcterms:created xsi:type="dcterms:W3CDTF">2024-03-13T12:39:00Z</dcterms:created>
  <dcterms:modified xsi:type="dcterms:W3CDTF">2025-10-22T12:25:00Z</dcterms:modified>
</cp:coreProperties>
</file>