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4463BB">
        <w:rPr>
          <w:i/>
          <w:sz w:val="26"/>
          <w:szCs w:val="26"/>
          <w:lang w:val="uk-UA"/>
        </w:rPr>
        <w:t>https://prozorro.gov.ua/uk/tender/UA-2025-09-1</w:t>
      </w:r>
      <w:r w:rsidR="002A0F9E">
        <w:rPr>
          <w:i/>
          <w:sz w:val="26"/>
          <w:szCs w:val="26"/>
          <w:lang w:val="uk-UA"/>
        </w:rPr>
        <w:t>5</w:t>
      </w:r>
      <w:r w:rsidR="004463BB" w:rsidRPr="004463BB">
        <w:rPr>
          <w:i/>
          <w:sz w:val="26"/>
          <w:szCs w:val="26"/>
          <w:lang w:val="uk-UA"/>
        </w:rPr>
        <w:t>-004</w:t>
      </w:r>
      <w:r w:rsidR="002A0F9E">
        <w:rPr>
          <w:i/>
          <w:sz w:val="26"/>
          <w:szCs w:val="26"/>
          <w:lang w:val="uk-UA"/>
        </w:rPr>
        <w:t>266</w:t>
      </w:r>
      <w:r w:rsidR="004463BB" w:rsidRPr="004463BB">
        <w:rPr>
          <w:i/>
          <w:sz w:val="26"/>
          <w:szCs w:val="26"/>
          <w:lang w:val="uk-UA"/>
        </w:rPr>
        <w:t>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2A0F9E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bookmarkStart w:id="3" w:name="_GoBack"/>
      <w:r w:rsidR="002A0F9E" w:rsidRPr="002A0F9E">
        <w:rPr>
          <w:i/>
          <w:sz w:val="26"/>
          <w:szCs w:val="26"/>
          <w:lang w:val="uk-UA"/>
        </w:rPr>
        <w:t xml:space="preserve">ДК 021:2015 </w:t>
      </w:r>
      <w:r w:rsidR="002A0F9E" w:rsidRPr="002A0F9E">
        <w:rPr>
          <w:i/>
          <w:sz w:val="26"/>
          <w:szCs w:val="26"/>
          <w:lang w:val="uk-UA"/>
        </w:rPr>
        <w:t xml:space="preserve">код </w:t>
      </w:r>
      <w:r w:rsidR="002A0F9E" w:rsidRPr="002A0F9E">
        <w:rPr>
          <w:i/>
          <w:sz w:val="26"/>
          <w:szCs w:val="26"/>
          <w:lang w:val="uk-UA"/>
        </w:rPr>
        <w:t>44210000-5 Конструкції та їх частини (Комплект багатофункціональних модульних риштувань)</w:t>
      </w:r>
      <w:bookmarkEnd w:id="3"/>
      <w:r w:rsidR="0036790A" w:rsidRPr="002A0F9E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2A0F9E">
        <w:rPr>
          <w:i/>
          <w:lang w:val="uk-UA" w:eastAsia="uk-UA"/>
        </w:rPr>
        <w:t xml:space="preserve">1 118 005,91 грн., без ПДВ, крім того ПДВ </w:t>
      </w:r>
      <w:r w:rsidR="002A0F9E">
        <w:rPr>
          <w:i/>
          <w:lang w:val="uk-UA" w:eastAsia="uk-UA"/>
        </w:rPr>
        <w:br/>
      </w:r>
      <w:r w:rsidR="002A0F9E">
        <w:rPr>
          <w:i/>
          <w:lang w:val="uk-UA" w:eastAsia="uk-UA"/>
        </w:rPr>
        <w:t>223 601,18 грн., всього з ПДВ 1 341 607,10 грн</w:t>
      </w:r>
      <w:r w:rsidR="004D6665" w:rsidRPr="007F4055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2A0F9E" w:rsidRDefault="002A0F9E" w:rsidP="002A0F9E">
      <w:pPr>
        <w:tabs>
          <w:tab w:val="left" w:pos="1276"/>
        </w:tabs>
        <w:spacing w:before="120"/>
        <w:ind w:firstLine="851"/>
        <w:jc w:val="both"/>
        <w:rPr>
          <w:i/>
          <w:lang w:val="uk-UA"/>
        </w:rPr>
      </w:pPr>
      <w:r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  <w:r>
        <w:rPr>
          <w:rFonts w:cs="Times New Roman"/>
          <w:bCs w:val="0"/>
          <w:iCs w:val="0"/>
          <w:kern w:val="0"/>
          <w:szCs w:val="26"/>
          <w:lang w:val="uk-UA"/>
        </w:rPr>
        <w:t xml:space="preserve"> </w:t>
      </w:r>
    </w:p>
    <w:p w:rsidR="002A0F9E" w:rsidRDefault="002A0F9E" w:rsidP="002A0F9E">
      <w:pPr>
        <w:tabs>
          <w:tab w:val="left" w:pos="851"/>
        </w:tabs>
        <w:spacing w:before="120"/>
        <w:jc w:val="both"/>
        <w:rPr>
          <w:i/>
          <w:lang w:val="uk-UA"/>
        </w:rPr>
      </w:pPr>
      <w:r>
        <w:rPr>
          <w:i/>
          <w:lang w:val="uk-UA"/>
        </w:rPr>
        <w:tab/>
        <w:t>НПАОП 0.00-1.15-07</w:t>
      </w:r>
      <w:r>
        <w:rPr>
          <w:i/>
        </w:rPr>
        <w:t xml:space="preserve"> </w:t>
      </w:r>
      <w:r>
        <w:rPr>
          <w:i/>
          <w:lang w:val="uk-UA"/>
        </w:rPr>
        <w:t xml:space="preserve">«Правила охорони праці під час роботи на висоті»; </w:t>
      </w:r>
    </w:p>
    <w:p w:rsidR="002A0F9E" w:rsidRDefault="002A0F9E" w:rsidP="002A0F9E">
      <w:pPr>
        <w:tabs>
          <w:tab w:val="left" w:pos="851"/>
        </w:tabs>
        <w:spacing w:before="120"/>
        <w:jc w:val="both"/>
        <w:rPr>
          <w:i/>
          <w:lang w:val="uk-UA"/>
        </w:rPr>
      </w:pPr>
      <w:r>
        <w:rPr>
          <w:i/>
          <w:lang w:val="uk-UA"/>
        </w:rPr>
        <w:tab/>
        <w:t xml:space="preserve">ДСТУ EN 12810-1:2022 «Фасадні риштування зі збірних компонентів. </w:t>
      </w:r>
      <w:r>
        <w:rPr>
          <w:i/>
          <w:lang w:val="uk-UA"/>
        </w:rPr>
        <w:br/>
      </w:r>
      <w:proofErr w:type="spellStart"/>
      <w:r>
        <w:rPr>
          <w:i/>
        </w:rPr>
        <w:t>Частина</w:t>
      </w:r>
      <w:proofErr w:type="spellEnd"/>
      <w:r>
        <w:rPr>
          <w:i/>
        </w:rPr>
        <w:t xml:space="preserve"> 1</w:t>
      </w:r>
      <w:r>
        <w:rPr>
          <w:i/>
          <w:lang w:val="uk-UA"/>
        </w:rPr>
        <w:t>. Специфікації виробів»;</w:t>
      </w:r>
    </w:p>
    <w:p w:rsidR="00566181" w:rsidRPr="002F0017" w:rsidRDefault="002A0F9E" w:rsidP="002A0F9E">
      <w:pPr>
        <w:tabs>
          <w:tab w:val="left" w:pos="851"/>
        </w:tabs>
        <w:spacing w:before="120"/>
        <w:jc w:val="both"/>
        <w:rPr>
          <w:i/>
          <w:szCs w:val="26"/>
          <w:lang w:val="uk-UA"/>
        </w:rPr>
      </w:pPr>
      <w:r>
        <w:rPr>
          <w:i/>
          <w:lang w:val="uk-UA"/>
        </w:rPr>
        <w:tab/>
      </w:r>
      <w:r>
        <w:rPr>
          <w:i/>
        </w:rPr>
        <w:t xml:space="preserve">ДСТУ </w:t>
      </w:r>
      <w:r>
        <w:rPr>
          <w:i/>
          <w:lang w:val="en-US"/>
        </w:rPr>
        <w:t>EN</w:t>
      </w:r>
      <w:r>
        <w:rPr>
          <w:i/>
        </w:rPr>
        <w:t xml:space="preserve"> 12811-1:2022 </w:t>
      </w:r>
      <w:r>
        <w:rPr>
          <w:i/>
          <w:lang w:val="uk-UA"/>
        </w:rPr>
        <w:t>«</w:t>
      </w:r>
      <w:r w:rsidRPr="002F0017">
        <w:rPr>
          <w:i/>
          <w:lang w:val="uk-UA"/>
        </w:rPr>
        <w:t>Тимчасове робоче обладнання. Частина 1. Риштування. Вимоги до продуктивності та загальна конструкція».</w:t>
      </w:r>
    </w:p>
    <w:sectPr w:rsidR="00566181" w:rsidRPr="002F001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A44F-B5F7-482B-80EB-33238F8C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82</cp:revision>
  <cp:lastPrinted>2024-03-13T12:39:00Z</cp:lastPrinted>
  <dcterms:created xsi:type="dcterms:W3CDTF">2024-03-13T12:39:00Z</dcterms:created>
  <dcterms:modified xsi:type="dcterms:W3CDTF">2025-09-15T08:47:00Z</dcterms:modified>
</cp:coreProperties>
</file>