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98" w:rsidRPr="00566181" w:rsidRDefault="000D1E98" w:rsidP="003A3B2A">
      <w:pPr>
        <w:jc w:val="center"/>
        <w:rPr>
          <w:rFonts w:cs="Times New Roman"/>
          <w:b/>
          <w:bCs w:val="0"/>
          <w:iCs w:val="0"/>
          <w:kern w:val="0"/>
          <w:sz w:val="24"/>
          <w:szCs w:val="24"/>
          <w:lang w:val="uk-UA"/>
        </w:rPr>
      </w:pPr>
    </w:p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47699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246FC6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246FC6">
        <w:rPr>
          <w:sz w:val="26"/>
          <w:szCs w:val="26"/>
          <w:lang w:val="uk-UA"/>
        </w:rPr>
        <w:t xml:space="preserve"> </w:t>
      </w:r>
      <w:r w:rsidR="00126932" w:rsidRPr="00476997">
        <w:rPr>
          <w:i/>
          <w:sz w:val="26"/>
          <w:szCs w:val="26"/>
          <w:lang w:val="uk-UA"/>
        </w:rPr>
        <w:t>філія</w:t>
      </w:r>
      <w:r w:rsidR="00126932" w:rsidRPr="00476997">
        <w:rPr>
          <w:sz w:val="26"/>
          <w:szCs w:val="26"/>
          <w:lang w:val="uk-UA"/>
        </w:rPr>
        <w:t xml:space="preserve"> «</w:t>
      </w:r>
      <w:r w:rsidR="00126932" w:rsidRPr="00476997">
        <w:rPr>
          <w:i/>
          <w:sz w:val="26"/>
          <w:szCs w:val="26"/>
          <w:lang w:val="uk-UA"/>
        </w:rPr>
        <w:t>ВП </w:t>
      </w:r>
      <w:r w:rsidRPr="00476997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476997">
        <w:rPr>
          <w:i/>
          <w:sz w:val="26"/>
          <w:szCs w:val="26"/>
          <w:lang w:val="uk-UA"/>
        </w:rPr>
        <w:t>АТ </w:t>
      </w:r>
      <w:r w:rsidRPr="00476997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476997">
        <w:rPr>
          <w:i/>
          <w:sz w:val="26"/>
          <w:szCs w:val="26"/>
          <w:lang w:val="uk-UA"/>
        </w:rPr>
        <w:t>, код ЄДРПОУ</w:t>
      </w:r>
      <w:r w:rsidR="00F30944" w:rsidRPr="00476997">
        <w:rPr>
          <w:b/>
          <w:sz w:val="26"/>
          <w:szCs w:val="26"/>
          <w:lang w:val="uk-UA"/>
        </w:rPr>
        <w:t xml:space="preserve"> </w:t>
      </w:r>
      <w:r w:rsidR="00F30944" w:rsidRPr="00476997">
        <w:rPr>
          <w:i/>
          <w:sz w:val="26"/>
          <w:szCs w:val="26"/>
          <w:lang w:val="uk-UA"/>
        </w:rPr>
        <w:t>25881800</w:t>
      </w:r>
      <w:r w:rsidRPr="00476997">
        <w:rPr>
          <w:i/>
          <w:sz w:val="26"/>
          <w:szCs w:val="26"/>
          <w:lang w:val="uk-UA"/>
        </w:rPr>
        <w:t>.</w:t>
      </w:r>
    </w:p>
    <w:p w:rsidR="009D5859" w:rsidRPr="0047699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476997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476997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4463BB" w:rsidRPr="004463BB">
        <w:rPr>
          <w:i/>
          <w:sz w:val="26"/>
          <w:szCs w:val="26"/>
          <w:lang w:val="uk-UA"/>
        </w:rPr>
        <w:t>https://prozorro.gov.ua/uk/tender/UA-2025-09-12-004015-a</w:t>
      </w:r>
      <w:r w:rsidR="00032D0A" w:rsidRPr="00476997">
        <w:rPr>
          <w:i/>
          <w:sz w:val="26"/>
          <w:szCs w:val="26"/>
          <w:lang w:val="uk-UA"/>
        </w:rPr>
        <w:t>.</w:t>
      </w:r>
    </w:p>
    <w:p w:rsidR="009D5859" w:rsidRPr="00476997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476997">
        <w:rPr>
          <w:b/>
          <w:sz w:val="26"/>
          <w:szCs w:val="26"/>
          <w:lang w:val="uk-UA"/>
        </w:rPr>
        <w:t>3</w:t>
      </w:r>
      <w:r w:rsidR="009D5859" w:rsidRPr="00476997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476997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4463BB" w:rsidRPr="004463BB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Розробка робочого </w:t>
      </w:r>
      <w:proofErr w:type="spellStart"/>
      <w:r w:rsidR="004463BB" w:rsidRPr="004463BB">
        <w:rPr>
          <w:rFonts w:eastAsia="Times New Roman"/>
          <w:i/>
          <w:color w:val="auto"/>
          <w:sz w:val="26"/>
          <w:szCs w:val="26"/>
          <w:lang w:val="uk-UA" w:eastAsia="ru-RU"/>
        </w:rPr>
        <w:t>проєкту</w:t>
      </w:r>
      <w:proofErr w:type="spellEnd"/>
      <w:r w:rsidR="004463BB" w:rsidRPr="004463BB">
        <w:rPr>
          <w:rFonts w:eastAsia="Times New Roman"/>
          <w:i/>
          <w:color w:val="auto"/>
          <w:sz w:val="26"/>
          <w:szCs w:val="26"/>
          <w:lang w:val="uk-UA" w:eastAsia="ru-RU"/>
        </w:rPr>
        <w:t>: «Улаштування системи протипожежного захисту будівель виробничої бази філії «ВП» «</w:t>
      </w:r>
      <w:proofErr w:type="spellStart"/>
      <w:r w:rsidR="004463BB" w:rsidRPr="004463BB">
        <w:rPr>
          <w:rFonts w:eastAsia="Times New Roman"/>
          <w:i/>
          <w:color w:val="auto"/>
          <w:sz w:val="26"/>
          <w:szCs w:val="26"/>
          <w:lang w:val="uk-UA" w:eastAsia="ru-RU"/>
        </w:rPr>
        <w:t>Атомремонтсервіс</w:t>
      </w:r>
      <w:proofErr w:type="spellEnd"/>
      <w:r w:rsidR="004463BB" w:rsidRPr="004463BB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» за адресою: м. Славутич Київської області» (ДК 021:2015 код 71320000-7 Послуги з інженерного </w:t>
      </w:r>
      <w:proofErr w:type="spellStart"/>
      <w:r w:rsidR="004463BB" w:rsidRPr="004463BB">
        <w:rPr>
          <w:rFonts w:eastAsia="Times New Roman"/>
          <w:i/>
          <w:color w:val="auto"/>
          <w:sz w:val="26"/>
          <w:szCs w:val="26"/>
          <w:lang w:val="uk-UA" w:eastAsia="ru-RU"/>
        </w:rPr>
        <w:t>проєктування</w:t>
      </w:r>
      <w:proofErr w:type="spellEnd"/>
      <w:r w:rsidR="004463BB" w:rsidRPr="004463BB">
        <w:rPr>
          <w:rFonts w:eastAsia="Times New Roman"/>
          <w:i/>
          <w:color w:val="auto"/>
          <w:sz w:val="26"/>
          <w:szCs w:val="26"/>
          <w:lang w:val="uk-UA" w:eastAsia="ru-RU"/>
        </w:rPr>
        <w:t>)</w:t>
      </w:r>
      <w:r w:rsidR="0036790A" w:rsidRPr="00476997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</w:p>
    <w:p w:rsidR="00345566" w:rsidRPr="00476997" w:rsidRDefault="00F30944" w:rsidP="00345566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476997">
        <w:rPr>
          <w:rFonts w:cs="Times New Roman"/>
          <w:b/>
          <w:kern w:val="0"/>
          <w:szCs w:val="26"/>
          <w:lang w:val="uk-UA"/>
        </w:rPr>
        <w:t>4</w:t>
      </w:r>
      <w:r w:rsidR="009D5859" w:rsidRPr="00476997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476997">
        <w:rPr>
          <w:rFonts w:cs="Times New Roman"/>
          <w:b/>
          <w:kern w:val="0"/>
          <w:szCs w:val="26"/>
          <w:lang w:val="uk-UA"/>
        </w:rPr>
        <w:t xml:space="preserve">: </w:t>
      </w:r>
      <w:r w:rsidR="004463BB">
        <w:rPr>
          <w:rFonts w:cs="Times New Roman"/>
          <w:bCs w:val="0"/>
          <w:i/>
          <w:iCs w:val="0"/>
          <w:kern w:val="0"/>
          <w:szCs w:val="26"/>
          <w:lang w:val="uk-UA"/>
        </w:rPr>
        <w:t>199 914,70</w:t>
      </w:r>
      <w:r w:rsidR="007F4055" w:rsidRPr="007F4055">
        <w:rPr>
          <w:rFonts w:cs="Times New Roman"/>
          <w:bCs w:val="0"/>
          <w:i/>
          <w:iCs w:val="0"/>
          <w:kern w:val="0"/>
          <w:szCs w:val="26"/>
          <w:lang w:val="uk-UA"/>
        </w:rPr>
        <w:t xml:space="preserve"> грн. без ПДВ, крім того </w:t>
      </w:r>
      <w:r w:rsidR="007F4055" w:rsidRPr="007F4055">
        <w:rPr>
          <w:rFonts w:cs="Times New Roman"/>
          <w:bCs w:val="0"/>
          <w:i/>
          <w:iCs w:val="0"/>
          <w:kern w:val="0"/>
          <w:szCs w:val="26"/>
          <w:lang w:val="uk-UA"/>
        </w:rPr>
        <w:br/>
      </w:r>
      <w:r w:rsidR="004463BB">
        <w:rPr>
          <w:rFonts w:cs="Times New Roman"/>
          <w:bCs w:val="0"/>
          <w:i/>
          <w:iCs w:val="0"/>
          <w:kern w:val="0"/>
          <w:szCs w:val="26"/>
          <w:lang w:val="uk-UA"/>
        </w:rPr>
        <w:t>73 282,94</w:t>
      </w:r>
      <w:r w:rsidR="007F4055" w:rsidRPr="007F4055">
        <w:rPr>
          <w:rFonts w:cs="Times New Roman"/>
          <w:bCs w:val="0"/>
          <w:i/>
          <w:iCs w:val="0"/>
          <w:kern w:val="0"/>
          <w:szCs w:val="26"/>
          <w:lang w:val="uk-UA"/>
        </w:rPr>
        <w:t xml:space="preserve"> грн. ПДВ грн., всього з ПДВ </w:t>
      </w:r>
      <w:r w:rsidR="004463BB">
        <w:rPr>
          <w:rFonts w:cs="Times New Roman"/>
          <w:bCs w:val="0"/>
          <w:i/>
          <w:iCs w:val="0"/>
          <w:kern w:val="0"/>
          <w:szCs w:val="26"/>
          <w:lang w:val="uk-UA"/>
        </w:rPr>
        <w:t>239 897,64</w:t>
      </w:r>
      <w:r w:rsidR="007F4055" w:rsidRPr="007F4055">
        <w:rPr>
          <w:rFonts w:cs="Times New Roman"/>
          <w:bCs w:val="0"/>
          <w:i/>
          <w:iCs w:val="0"/>
          <w:kern w:val="0"/>
          <w:szCs w:val="26"/>
          <w:lang w:val="uk-UA"/>
        </w:rPr>
        <w:t xml:space="preserve"> грн</w:t>
      </w:r>
      <w:r w:rsidR="004D6665" w:rsidRPr="007F4055">
        <w:rPr>
          <w:rFonts w:cs="Times New Roman"/>
          <w:bCs w:val="0"/>
          <w:i/>
          <w:iCs w:val="0"/>
          <w:kern w:val="0"/>
          <w:szCs w:val="26"/>
          <w:lang w:val="uk-UA"/>
        </w:rPr>
        <w:t>.</w:t>
      </w:r>
    </w:p>
    <w:p w:rsidR="00F30944" w:rsidRPr="00246FC6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246FC6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B60CF6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3" w:name="n118"/>
      <w:bookmarkEnd w:id="3"/>
      <w:r w:rsidRPr="00246FC6">
        <w:rPr>
          <w:b/>
          <w:szCs w:val="26"/>
          <w:lang w:val="uk-UA"/>
        </w:rPr>
        <w:t>5</w:t>
      </w:r>
      <w:r w:rsidR="009D5859" w:rsidRPr="00246FC6">
        <w:rPr>
          <w:b/>
          <w:szCs w:val="26"/>
          <w:lang w:val="uk-UA"/>
        </w:rPr>
        <w:t>.</w:t>
      </w:r>
      <w:bookmarkStart w:id="4" w:name="n107"/>
      <w:bookmarkEnd w:id="4"/>
      <w:r w:rsidR="009D5859" w:rsidRPr="00246FC6">
        <w:rPr>
          <w:szCs w:val="26"/>
          <w:lang w:val="uk-UA"/>
        </w:rPr>
        <w:t xml:space="preserve"> </w:t>
      </w:r>
      <w:r w:rsidR="009D5859" w:rsidRPr="00B60CF6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B60CF6">
        <w:rPr>
          <w:b/>
          <w:sz w:val="26"/>
          <w:szCs w:val="26"/>
          <w:lang w:val="uk-UA"/>
        </w:rPr>
        <w:t>:</w:t>
      </w:r>
      <w:r w:rsidR="00B628B0" w:rsidRPr="00B60CF6">
        <w:rPr>
          <w:sz w:val="26"/>
          <w:szCs w:val="26"/>
          <w:lang w:val="uk-UA"/>
        </w:rPr>
        <w:t xml:space="preserve"> </w:t>
      </w:r>
      <w:r w:rsidR="00032D0A" w:rsidRPr="00B60CF6">
        <w:rPr>
          <w:b/>
          <w:sz w:val="26"/>
          <w:szCs w:val="26"/>
          <w:lang w:val="uk-UA"/>
        </w:rPr>
        <w:t>інші документи):</w:t>
      </w:r>
      <w:r w:rsidR="00032D0A" w:rsidRPr="00B60CF6">
        <w:rPr>
          <w:i/>
          <w:sz w:val="26"/>
          <w:szCs w:val="26"/>
          <w:lang w:val="uk-UA"/>
        </w:rPr>
        <w:t xml:space="preserve"> </w:t>
      </w:r>
    </w:p>
    <w:p w:rsidR="005A4DAD" w:rsidRDefault="005A4DAD" w:rsidP="005A4DAD">
      <w:pPr>
        <w:pStyle w:val="rvps2"/>
        <w:spacing w:before="0" w:beforeAutospacing="0" w:after="0" w:afterAutospacing="0"/>
        <w:ind w:firstLine="360"/>
        <w:jc w:val="both"/>
        <w:rPr>
          <w:i/>
          <w:sz w:val="26"/>
          <w:szCs w:val="26"/>
          <w:lang w:val="uk-UA"/>
        </w:rPr>
      </w:pPr>
      <w:proofErr w:type="spellStart"/>
      <w:r>
        <w:rPr>
          <w:i/>
          <w:sz w:val="26"/>
          <w:szCs w:val="26"/>
          <w:lang w:val="uk-UA"/>
        </w:rPr>
        <w:t>Проєктні</w:t>
      </w:r>
      <w:proofErr w:type="spellEnd"/>
      <w:r>
        <w:rPr>
          <w:i/>
          <w:sz w:val="26"/>
          <w:szCs w:val="26"/>
          <w:lang w:val="uk-UA"/>
        </w:rPr>
        <w:t xml:space="preserve">  роботи будуть виконуватись на основі  технічного завдання на розробку робочого </w:t>
      </w:r>
      <w:proofErr w:type="spellStart"/>
      <w:r>
        <w:rPr>
          <w:i/>
          <w:sz w:val="26"/>
          <w:szCs w:val="26"/>
          <w:lang w:val="uk-UA"/>
        </w:rPr>
        <w:t>проєкту</w:t>
      </w:r>
      <w:proofErr w:type="spellEnd"/>
      <w:r>
        <w:rPr>
          <w:sz w:val="26"/>
          <w:szCs w:val="26"/>
          <w:lang w:val="uk-UA"/>
        </w:rPr>
        <w:t>:</w:t>
      </w:r>
      <w:r>
        <w:rPr>
          <w:bCs/>
          <w:iCs/>
          <w:sz w:val="26"/>
          <w:szCs w:val="26"/>
          <w:lang w:val="uk-UA"/>
        </w:rPr>
        <w:t xml:space="preserve"> </w:t>
      </w:r>
      <w:r>
        <w:rPr>
          <w:i/>
          <w:spacing w:val="-5"/>
          <w:sz w:val="26"/>
          <w:szCs w:val="26"/>
          <w:lang w:val="uk-UA"/>
        </w:rPr>
        <w:t xml:space="preserve"> «Улаштування системи протипожежного захисту будівель виробничої бази філії «ВП «</w:t>
      </w:r>
      <w:proofErr w:type="spellStart"/>
      <w:r>
        <w:rPr>
          <w:i/>
          <w:spacing w:val="-5"/>
          <w:sz w:val="26"/>
          <w:szCs w:val="26"/>
          <w:lang w:val="uk-UA"/>
        </w:rPr>
        <w:t>Атомремонтсервіс</w:t>
      </w:r>
      <w:proofErr w:type="spellEnd"/>
      <w:r>
        <w:rPr>
          <w:i/>
          <w:spacing w:val="-5"/>
          <w:sz w:val="26"/>
          <w:szCs w:val="26"/>
          <w:lang w:val="uk-UA"/>
        </w:rPr>
        <w:t>»  за адресою: м. Славутич, Київської області»</w:t>
      </w:r>
      <w:r>
        <w:rPr>
          <w:bCs/>
          <w:i/>
          <w:iCs/>
          <w:sz w:val="26"/>
          <w:szCs w:val="26"/>
          <w:lang w:val="uk-UA"/>
        </w:rPr>
        <w:t xml:space="preserve">, а також </w:t>
      </w:r>
      <w:r>
        <w:rPr>
          <w:i/>
          <w:sz w:val="26"/>
          <w:szCs w:val="26"/>
          <w:lang w:val="uk-UA"/>
        </w:rPr>
        <w:t>згідно діючих норм і правил</w:t>
      </w:r>
      <w:r>
        <w:rPr>
          <w:sz w:val="26"/>
          <w:szCs w:val="26"/>
          <w:lang w:val="uk-UA"/>
        </w:rPr>
        <w:t>.</w:t>
      </w:r>
    </w:p>
    <w:p w:rsidR="005A4DAD" w:rsidRDefault="005A4DAD" w:rsidP="005A4DAD">
      <w:pPr>
        <w:pStyle w:val="rvps2"/>
        <w:spacing w:before="0" w:beforeAutospacing="0" w:after="120" w:afterAutospacing="0"/>
        <w:ind w:firstLine="360"/>
        <w:jc w:val="both"/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Об’єкт має клас наслідків (відповідальності) СС1-незначні наслідки згідно ДСТУ 8855:2019.         </w:t>
      </w:r>
    </w:p>
    <w:p w:rsidR="005A4DAD" w:rsidRDefault="005A4DAD" w:rsidP="005A4DAD">
      <w:pPr>
        <w:pStyle w:val="rvps2"/>
        <w:spacing w:before="120" w:beforeAutospacing="0" w:after="120" w:afterAutospacing="0"/>
        <w:ind w:firstLine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Нормативні посилання</w:t>
      </w:r>
    </w:p>
    <w:tbl>
      <w:tblPr>
        <w:tblStyle w:val="ac"/>
        <w:tblW w:w="11679" w:type="dxa"/>
        <w:tblInd w:w="0" w:type="dxa"/>
        <w:tblLook w:val="04A0" w:firstRow="1" w:lastRow="0" w:firstColumn="1" w:lastColumn="0" w:noHBand="0" w:noVBand="1"/>
      </w:tblPr>
      <w:tblGrid>
        <w:gridCol w:w="10530"/>
        <w:gridCol w:w="1149"/>
      </w:tblGrid>
      <w:tr w:rsidR="005A4DAD" w:rsidTr="005A4DAD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ac"/>
              <w:tblW w:w="10314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94"/>
              <w:gridCol w:w="6520"/>
            </w:tblGrid>
            <w:tr w:rsidR="005A4DAD">
              <w:tc>
                <w:tcPr>
                  <w:tcW w:w="3794" w:type="dxa"/>
                  <w:hideMark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shd w:val="clear" w:color="auto" w:fill="FFFFFF"/>
                      <w:lang w:val="uk-UA"/>
                    </w:rPr>
                    <w:t>ДБН А.3.1-5:2016</w:t>
                  </w:r>
                </w:p>
              </w:tc>
              <w:tc>
                <w:tcPr>
                  <w:tcW w:w="6520" w:type="dxa"/>
                  <w:hideMark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shd w:val="clear" w:color="auto" w:fill="FFFFFF"/>
                      <w:lang w:val="uk-UA"/>
                    </w:rPr>
                    <w:t>Організація будівельного виробництва</w:t>
                  </w:r>
                </w:p>
              </w:tc>
            </w:tr>
            <w:tr w:rsidR="005A4DAD">
              <w:tc>
                <w:tcPr>
                  <w:tcW w:w="3794" w:type="dxa"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</w:p>
              </w:tc>
              <w:tc>
                <w:tcPr>
                  <w:tcW w:w="6520" w:type="dxa"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</w:p>
              </w:tc>
            </w:tr>
            <w:tr w:rsidR="005A4DAD">
              <w:tc>
                <w:tcPr>
                  <w:tcW w:w="3794" w:type="dxa"/>
                  <w:hideMark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shd w:val="clear" w:color="auto" w:fill="FFFFFF"/>
                      <w:lang w:val="uk-UA"/>
                    </w:rPr>
                    <w:t>ДБН А.3.2-2-2009</w:t>
                  </w:r>
                </w:p>
              </w:tc>
              <w:tc>
                <w:tcPr>
                  <w:tcW w:w="6520" w:type="dxa"/>
                  <w:hideMark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shd w:val="clear" w:color="auto" w:fill="FFFFFF"/>
                      <w:lang w:val="uk-UA"/>
                    </w:rPr>
                    <w:t>Система стандартів безпеки праці. Охорона праці і промислова безпека у будівництві. Основні положення.</w:t>
                  </w:r>
                </w:p>
              </w:tc>
            </w:tr>
            <w:tr w:rsidR="005A4DAD">
              <w:tc>
                <w:tcPr>
                  <w:tcW w:w="3794" w:type="dxa"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</w:p>
              </w:tc>
              <w:tc>
                <w:tcPr>
                  <w:tcW w:w="6520" w:type="dxa"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</w:p>
              </w:tc>
            </w:tr>
            <w:tr w:rsidR="005A4DAD">
              <w:tc>
                <w:tcPr>
                  <w:tcW w:w="3794" w:type="dxa"/>
                  <w:hideMark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shd w:val="clear" w:color="auto" w:fill="FFFFFF"/>
                      <w:lang w:val="uk-UA"/>
                    </w:rPr>
                    <w:t>НАПБ А.01.001-2014</w:t>
                  </w:r>
                </w:p>
              </w:tc>
              <w:tc>
                <w:tcPr>
                  <w:tcW w:w="6520" w:type="dxa"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shd w:val="clear" w:color="auto" w:fill="FFFFFF"/>
                      <w:lang w:val="uk-UA"/>
                    </w:rPr>
                    <w:t>Правила пожежної безпеки в Україні.</w:t>
                  </w:r>
                </w:p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</w:p>
              </w:tc>
            </w:tr>
            <w:tr w:rsidR="005A4DAD">
              <w:tc>
                <w:tcPr>
                  <w:tcW w:w="3794" w:type="dxa"/>
                  <w:hideMark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shd w:val="clear" w:color="auto" w:fill="FFFFFF"/>
                      <w:lang w:val="uk-UA"/>
                    </w:rPr>
                    <w:t>ДБН В.1.1-7:2016</w:t>
                  </w:r>
                </w:p>
              </w:tc>
              <w:tc>
                <w:tcPr>
                  <w:tcW w:w="6520" w:type="dxa"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shd w:val="clear" w:color="auto" w:fill="FFFFFF"/>
                      <w:lang w:val="uk-UA"/>
                    </w:rPr>
                    <w:t>Пожежна безпека об`єктів будівництва. Загальні вимоги.</w:t>
                  </w:r>
                </w:p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</w:p>
              </w:tc>
            </w:tr>
            <w:tr w:rsidR="005A4DAD">
              <w:tc>
                <w:tcPr>
                  <w:tcW w:w="3794" w:type="dxa"/>
                  <w:hideMark/>
                </w:tcPr>
                <w:p w:rsidR="005A4DAD" w:rsidRDefault="005A4DAD">
                  <w:pPr>
                    <w:pStyle w:val="rvps2"/>
                    <w:pageBreakBefore/>
                    <w:rPr>
                      <w:bCs/>
                      <w:i/>
                      <w:iCs/>
                      <w:color w:val="FF0000"/>
                      <w:sz w:val="26"/>
                      <w:szCs w:val="26"/>
                    </w:rPr>
                  </w:pPr>
                  <w:hyperlink r:id="rId7" w:tgtFrame="_blank" w:history="1">
                    <w:r>
                      <w:rPr>
                        <w:rStyle w:val="aa"/>
                        <w:i/>
                        <w:sz w:val="26"/>
                        <w:szCs w:val="26"/>
                      </w:rPr>
                      <w:t>ДСТУ ISO 23601:2019</w:t>
                    </w:r>
                  </w:hyperlink>
                </w:p>
              </w:tc>
              <w:tc>
                <w:tcPr>
                  <w:tcW w:w="6520" w:type="dxa"/>
                  <w:hideMark/>
                </w:tcPr>
                <w:p w:rsidR="005A4DAD" w:rsidRDefault="005A4DAD">
                  <w:pPr>
                    <w:pStyle w:val="rvps2"/>
                    <w:rPr>
                      <w:bCs/>
                      <w:i/>
                      <w:iCs/>
                      <w:color w:val="FF0000"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color w:val="001D35"/>
                      <w:sz w:val="26"/>
                      <w:szCs w:val="26"/>
                    </w:rPr>
                    <w:t>Ідентифікація</w:t>
                  </w:r>
                  <w:proofErr w:type="spellEnd"/>
                  <w:r>
                    <w:rPr>
                      <w:i/>
                      <w:color w:val="001D35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001D35"/>
                      <w:sz w:val="26"/>
                      <w:szCs w:val="26"/>
                    </w:rPr>
                    <w:t>безпечності</w:t>
                  </w:r>
                  <w:proofErr w:type="spellEnd"/>
                  <w:r>
                    <w:rPr>
                      <w:i/>
                      <w:color w:val="001D35"/>
                      <w:sz w:val="26"/>
                      <w:szCs w:val="26"/>
                    </w:rPr>
                    <w:t xml:space="preserve">. Знаки на планах </w:t>
                  </w:r>
                  <w:r>
                    <w:rPr>
                      <w:i/>
                      <w:color w:val="001D35"/>
                      <w:sz w:val="26"/>
                      <w:szCs w:val="26"/>
                      <w:lang w:val="uk-UA"/>
                    </w:rPr>
                    <w:t>евакуації.</w:t>
                  </w:r>
                </w:p>
              </w:tc>
            </w:tr>
            <w:tr w:rsidR="005A4DAD">
              <w:tc>
                <w:tcPr>
                  <w:tcW w:w="3794" w:type="dxa"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z w:val="12"/>
                      <w:szCs w:val="12"/>
                      <w:shd w:val="clear" w:color="auto" w:fill="FFFFFF"/>
                      <w:lang w:val="uk-UA"/>
                    </w:rPr>
                  </w:pPr>
                </w:p>
              </w:tc>
              <w:tc>
                <w:tcPr>
                  <w:tcW w:w="6520" w:type="dxa"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z w:val="12"/>
                      <w:szCs w:val="12"/>
                      <w:shd w:val="clear" w:color="auto" w:fill="FFFFFF"/>
                      <w:lang w:val="uk-UA"/>
                    </w:rPr>
                  </w:pPr>
                </w:p>
              </w:tc>
            </w:tr>
            <w:tr w:rsidR="005A4DAD">
              <w:tc>
                <w:tcPr>
                  <w:tcW w:w="3794" w:type="dxa"/>
                  <w:hideMark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shd w:val="clear" w:color="auto" w:fill="FFFFFF"/>
                      <w:lang w:val="uk-UA"/>
                    </w:rPr>
                    <w:t>ДБН В.1.2-7:2021</w:t>
                  </w:r>
                </w:p>
              </w:tc>
              <w:tc>
                <w:tcPr>
                  <w:tcW w:w="6520" w:type="dxa"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shd w:val="clear" w:color="auto" w:fill="FFFFFF"/>
                      <w:lang w:val="uk-UA"/>
                    </w:rPr>
                    <w:t>Основні вимоги до будівель і споруд. Пожежна безпека.</w:t>
                  </w:r>
                </w:p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</w:p>
              </w:tc>
            </w:tr>
            <w:tr w:rsidR="005A4DAD">
              <w:tc>
                <w:tcPr>
                  <w:tcW w:w="3794" w:type="dxa"/>
                  <w:hideMark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shd w:val="clear" w:color="auto" w:fill="FFFFFF"/>
                      <w:lang w:val="uk-UA"/>
                    </w:rPr>
                    <w:t>ДСТУ Б В.1.1-36:2016</w:t>
                  </w:r>
                </w:p>
              </w:tc>
              <w:tc>
                <w:tcPr>
                  <w:tcW w:w="6520" w:type="dxa"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shd w:val="clear" w:color="auto" w:fill="FFFFFF"/>
                      <w:lang w:val="uk-UA"/>
                    </w:rPr>
                    <w:t xml:space="preserve">Визначення категорій приміщень, будинків та зовнішніх установок за </w:t>
                  </w:r>
                  <w:proofErr w:type="spellStart"/>
                  <w:r>
                    <w:rPr>
                      <w:i/>
                      <w:shd w:val="clear" w:color="auto" w:fill="FFFFFF"/>
                      <w:lang w:val="uk-UA"/>
                    </w:rPr>
                    <w:t>вибухопожежною</w:t>
                  </w:r>
                  <w:proofErr w:type="spellEnd"/>
                  <w:r>
                    <w:rPr>
                      <w:i/>
                      <w:shd w:val="clear" w:color="auto" w:fill="FFFFFF"/>
                      <w:lang w:val="uk-UA"/>
                    </w:rPr>
                    <w:t xml:space="preserve"> та пожежною небезпекою.</w:t>
                  </w:r>
                </w:p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</w:p>
              </w:tc>
            </w:tr>
            <w:tr w:rsidR="005A4DAD">
              <w:tc>
                <w:tcPr>
                  <w:tcW w:w="3794" w:type="dxa"/>
                  <w:hideMark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shd w:val="clear" w:color="auto" w:fill="FFFFFF"/>
                      <w:lang w:val="uk-UA"/>
                    </w:rPr>
                    <w:lastRenderedPageBreak/>
                    <w:t>ДБН В.2.5-56:2014</w:t>
                  </w:r>
                </w:p>
              </w:tc>
              <w:tc>
                <w:tcPr>
                  <w:tcW w:w="6520" w:type="dxa"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shd w:val="clear" w:color="auto" w:fill="FFFFFF"/>
                      <w:lang w:val="uk-UA"/>
                    </w:rPr>
                    <w:t>Системи протипожежного захисту.</w:t>
                  </w:r>
                </w:p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</w:p>
              </w:tc>
            </w:tr>
            <w:tr w:rsidR="005A4DAD">
              <w:tc>
                <w:tcPr>
                  <w:tcW w:w="3794" w:type="dxa"/>
                  <w:hideMark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shd w:val="clear" w:color="auto" w:fill="FFFFFF"/>
                      <w:lang w:val="uk-UA"/>
                    </w:rPr>
                    <w:t>ДСТУ CEN/TS 54-14:2021</w:t>
                  </w:r>
                </w:p>
              </w:tc>
              <w:tc>
                <w:tcPr>
                  <w:tcW w:w="6520" w:type="dxa"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shd w:val="clear" w:color="auto" w:fill="FFFFFF"/>
                      <w:lang w:val="uk-UA"/>
                    </w:rPr>
                    <w:t xml:space="preserve">Системи пожежної сигналізації та </w:t>
                  </w:r>
                  <w:proofErr w:type="spellStart"/>
                  <w:r>
                    <w:rPr>
                      <w:i/>
                      <w:shd w:val="clear" w:color="auto" w:fill="FFFFFF"/>
                      <w:lang w:val="uk-UA"/>
                    </w:rPr>
                    <w:t>оповіщування</w:t>
                  </w:r>
                  <w:proofErr w:type="spellEnd"/>
                  <w:r>
                    <w:rPr>
                      <w:i/>
                      <w:shd w:val="clear" w:color="auto" w:fill="FFFFFF"/>
                      <w:lang w:val="uk-UA"/>
                    </w:rPr>
                    <w:t xml:space="preserve">. Частина 14. Настанови щодо побудови, проектування, монтування, </w:t>
                  </w:r>
                  <w:proofErr w:type="spellStart"/>
                  <w:r>
                    <w:rPr>
                      <w:i/>
                      <w:shd w:val="clear" w:color="auto" w:fill="FFFFFF"/>
                      <w:lang w:val="uk-UA"/>
                    </w:rPr>
                    <w:t>пусконалагоджування</w:t>
                  </w:r>
                  <w:proofErr w:type="spellEnd"/>
                  <w:r>
                    <w:rPr>
                      <w:i/>
                      <w:shd w:val="clear" w:color="auto" w:fill="FFFFFF"/>
                      <w:lang w:val="uk-UA"/>
                    </w:rPr>
                    <w:t>, введення в експлуатацію, експлуатування та технічного обслуговування.</w:t>
                  </w:r>
                </w:p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</w:p>
              </w:tc>
            </w:tr>
            <w:tr w:rsidR="005A4DAD">
              <w:tc>
                <w:tcPr>
                  <w:tcW w:w="3794" w:type="dxa"/>
                  <w:hideMark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spacing w:before="120"/>
                    <w:rPr>
                      <w:i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shd w:val="clear" w:color="auto" w:fill="FFFFFF"/>
                      <w:lang w:val="uk-UA"/>
                    </w:rPr>
                    <w:t>ДСТУ 8828:2019</w:t>
                  </w:r>
                </w:p>
              </w:tc>
              <w:tc>
                <w:tcPr>
                  <w:tcW w:w="6520" w:type="dxa"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spacing w:before="120"/>
                    <w:rPr>
                      <w:i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shd w:val="clear" w:color="auto" w:fill="FFFFFF"/>
                      <w:lang w:val="uk-UA"/>
                    </w:rPr>
                    <w:t>Пожежна безпека. Загальні положення.</w:t>
                  </w:r>
                </w:p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</w:p>
              </w:tc>
            </w:tr>
            <w:tr w:rsidR="005A4DAD">
              <w:tc>
                <w:tcPr>
                  <w:tcW w:w="3794" w:type="dxa"/>
                  <w:hideMark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spacing w:before="120"/>
                    <w:rPr>
                      <w:i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shd w:val="clear" w:color="auto" w:fill="FFFFFF"/>
                      <w:lang w:val="uk-UA"/>
                    </w:rPr>
                    <w:t>ВБН В.2.5-78.11.01-2003</w:t>
                  </w:r>
                </w:p>
              </w:tc>
              <w:tc>
                <w:tcPr>
                  <w:tcW w:w="6520" w:type="dxa"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spacing w:before="120"/>
                    <w:rPr>
                      <w:i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shd w:val="clear" w:color="auto" w:fill="FFFFFF"/>
                      <w:lang w:val="uk-UA"/>
                    </w:rPr>
                    <w:t>Інженерне обладнання будинків і споруд. Системи сигналізації охоронного призначення.</w:t>
                  </w:r>
                </w:p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</w:p>
              </w:tc>
            </w:tr>
            <w:tr w:rsidR="005A4DAD">
              <w:tc>
                <w:tcPr>
                  <w:tcW w:w="3794" w:type="dxa"/>
                  <w:hideMark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spacing w:before="120"/>
                    <w:rPr>
                      <w:i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shd w:val="clear" w:color="auto" w:fill="FFFFFF"/>
                      <w:lang w:val="uk-UA"/>
                    </w:rPr>
                    <w:t>ДСТУ ISO/IEC 11801-1:2018</w:t>
                  </w:r>
                </w:p>
              </w:tc>
              <w:tc>
                <w:tcPr>
                  <w:tcW w:w="6520" w:type="dxa"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spacing w:before="120"/>
                    <w:rPr>
                      <w:i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shd w:val="clear" w:color="auto" w:fill="FFFFFF"/>
                      <w:lang w:val="uk-UA"/>
                    </w:rPr>
                    <w:t xml:space="preserve">Інформаційні технології. Кабельні системи загальної </w:t>
                  </w:r>
                  <w:proofErr w:type="spellStart"/>
                  <w:r>
                    <w:rPr>
                      <w:i/>
                      <w:shd w:val="clear" w:color="auto" w:fill="FFFFFF"/>
                      <w:lang w:val="uk-UA"/>
                    </w:rPr>
                    <w:t>призначеності</w:t>
                  </w:r>
                  <w:proofErr w:type="spellEnd"/>
                  <w:r>
                    <w:rPr>
                      <w:i/>
                      <w:shd w:val="clear" w:color="auto" w:fill="FFFFFF"/>
                      <w:lang w:val="uk-UA"/>
                    </w:rPr>
                    <w:t xml:space="preserve"> для приміщень користувачів. Частина 1. Загальні вимоги.</w:t>
                  </w:r>
                </w:p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</w:p>
              </w:tc>
            </w:tr>
            <w:tr w:rsidR="005A4DAD">
              <w:tc>
                <w:tcPr>
                  <w:tcW w:w="3794" w:type="dxa"/>
                  <w:hideMark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spacing w:before="120"/>
                    <w:rPr>
                      <w:i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shd w:val="clear" w:color="auto" w:fill="FFFFFF"/>
                      <w:lang w:val="uk-UA"/>
                    </w:rPr>
                    <w:t>ДСТУ-Н Б А.3.2-1:2007</w:t>
                  </w:r>
                </w:p>
              </w:tc>
              <w:tc>
                <w:tcPr>
                  <w:tcW w:w="6520" w:type="dxa"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spacing w:before="120"/>
                    <w:rPr>
                      <w:i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shd w:val="clear" w:color="auto" w:fill="FFFFFF"/>
                      <w:lang w:val="uk-UA"/>
                    </w:rPr>
                    <w:t>Система стандартів безпеки праці. Настанова щодо визначення небезпечних і шкідливих факторів та захисту від їх впливу при виробництві будівельних матеріалів і виробів та їх використанні в процесі зведення та експлуатації об`єктів будівництва.</w:t>
                  </w:r>
                </w:p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</w:p>
              </w:tc>
            </w:tr>
            <w:tr w:rsidR="005A4DAD">
              <w:trPr>
                <w:trHeight w:val="80"/>
              </w:trPr>
              <w:tc>
                <w:tcPr>
                  <w:tcW w:w="3794" w:type="dxa"/>
                  <w:hideMark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shd w:val="clear" w:color="auto" w:fill="FFFFFF"/>
                      <w:lang w:val="uk-UA"/>
                    </w:rPr>
                    <w:t>ДСТУ Б А.3.2-12:2009</w:t>
                  </w:r>
                </w:p>
              </w:tc>
              <w:tc>
                <w:tcPr>
                  <w:tcW w:w="6520" w:type="dxa"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shd w:val="clear" w:color="auto" w:fill="FFFFFF"/>
                      <w:lang w:val="uk-UA"/>
                    </w:rPr>
                    <w:t>Система стандартів безпеки праці. Системи вентиляційні. Загальні вимоги.</w:t>
                  </w:r>
                </w:p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</w:p>
              </w:tc>
            </w:tr>
            <w:tr w:rsidR="005A4DAD">
              <w:tc>
                <w:tcPr>
                  <w:tcW w:w="3794" w:type="dxa"/>
                  <w:hideMark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shd w:val="clear" w:color="auto" w:fill="FFFFFF"/>
                      <w:lang w:val="uk-UA"/>
                    </w:rPr>
                    <w:t>ДБН В. 2.5-67:2013</w:t>
                  </w:r>
                </w:p>
              </w:tc>
              <w:tc>
                <w:tcPr>
                  <w:tcW w:w="6520" w:type="dxa"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shd w:val="clear" w:color="auto" w:fill="FFFFFF"/>
                      <w:lang w:val="uk-UA"/>
                    </w:rPr>
                    <w:t xml:space="preserve">Опалення, вентиляція та </w:t>
                  </w:r>
                  <w:proofErr w:type="spellStart"/>
                  <w:r>
                    <w:rPr>
                      <w:i/>
                      <w:shd w:val="clear" w:color="auto" w:fill="FFFFFF"/>
                      <w:lang w:val="uk-UA"/>
                    </w:rPr>
                    <w:t>кондиціонування</w:t>
                  </w:r>
                  <w:proofErr w:type="spellEnd"/>
                  <w:r>
                    <w:rPr>
                      <w:i/>
                      <w:shd w:val="clear" w:color="auto" w:fill="FFFFFF"/>
                      <w:lang w:val="uk-UA"/>
                    </w:rPr>
                    <w:t>.</w:t>
                  </w:r>
                </w:p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</w:p>
              </w:tc>
            </w:tr>
            <w:tr w:rsidR="005A4DAD">
              <w:tc>
                <w:tcPr>
                  <w:tcW w:w="3794" w:type="dxa"/>
                  <w:hideMark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lang w:val="uk-UA" w:eastAsia="uk-UA"/>
                    </w:rPr>
                    <w:t>НПАОП 40.1-1.21-98</w:t>
                  </w:r>
                </w:p>
              </w:tc>
              <w:tc>
                <w:tcPr>
                  <w:tcW w:w="6520" w:type="dxa"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>Правила безпечної експлуатації електроустановок споживачів.</w:t>
                  </w:r>
                </w:p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</w:p>
              </w:tc>
            </w:tr>
            <w:tr w:rsidR="005A4DAD">
              <w:tc>
                <w:tcPr>
                  <w:tcW w:w="3794" w:type="dxa"/>
                  <w:hideMark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lang w:val="uk-UA" w:eastAsia="uk-UA"/>
                    </w:rPr>
                  </w:pPr>
                  <w:r>
                    <w:rPr>
                      <w:i/>
                      <w:color w:val="000000"/>
                      <w:shd w:val="clear" w:color="auto" w:fill="FFFFFF"/>
                    </w:rPr>
                    <w:t xml:space="preserve">ДБН В.2.5-56:2014 </w:t>
                  </w:r>
                </w:p>
              </w:tc>
              <w:tc>
                <w:tcPr>
                  <w:tcW w:w="6520" w:type="dxa"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color w:val="000000"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color w:val="000000"/>
                      <w:shd w:val="clear" w:color="auto" w:fill="FFFFFF"/>
                      <w:lang w:val="uk-UA"/>
                    </w:rPr>
                    <w:t>Системи</w:t>
                  </w:r>
                  <w:r>
                    <w:rPr>
                      <w:i/>
                      <w:color w:val="000000"/>
                      <w:shd w:val="clear" w:color="auto" w:fill="FFFFFF"/>
                    </w:rPr>
                    <w:t xml:space="preserve"> </w:t>
                  </w:r>
                  <w:r>
                    <w:rPr>
                      <w:i/>
                      <w:color w:val="000000"/>
                      <w:shd w:val="clear" w:color="auto" w:fill="FFFFFF"/>
                      <w:lang w:val="uk-UA"/>
                    </w:rPr>
                    <w:t>протипожежного</w:t>
                  </w:r>
                  <w:r>
                    <w:rPr>
                      <w:i/>
                      <w:color w:val="000000"/>
                      <w:shd w:val="clear" w:color="auto" w:fill="FFFFFF"/>
                    </w:rPr>
                    <w:t xml:space="preserve"> </w:t>
                  </w:r>
                  <w:r>
                    <w:rPr>
                      <w:i/>
                      <w:color w:val="000000"/>
                      <w:shd w:val="clear" w:color="auto" w:fill="FFFFFF"/>
                      <w:lang w:val="uk-UA"/>
                    </w:rPr>
                    <w:t>захисту</w:t>
                  </w:r>
                  <w:r>
                    <w:rPr>
                      <w:i/>
                      <w:color w:val="000000"/>
                      <w:shd w:val="clear" w:color="auto" w:fill="FFFFFF"/>
                    </w:rPr>
                    <w:t xml:space="preserve"> </w:t>
                  </w:r>
                  <w:r>
                    <w:rPr>
                      <w:i/>
                      <w:color w:val="000000"/>
                      <w:shd w:val="clear" w:color="auto" w:fill="FFFFFF"/>
                      <w:lang w:val="uk-UA"/>
                    </w:rPr>
                    <w:t>зі</w:t>
                  </w:r>
                  <w:r>
                    <w:rPr>
                      <w:i/>
                      <w:color w:val="000000"/>
                      <w:shd w:val="clear" w:color="auto" w:fill="FFFFFF"/>
                    </w:rPr>
                    <w:t xml:space="preserve"> </w:t>
                  </w:r>
                  <w:r>
                    <w:rPr>
                      <w:i/>
                      <w:color w:val="000000"/>
                      <w:shd w:val="clear" w:color="auto" w:fill="FFFFFF"/>
                      <w:lang w:val="uk-UA"/>
                    </w:rPr>
                    <w:t>зміною</w:t>
                  </w:r>
                  <w:r>
                    <w:rPr>
                      <w:i/>
                      <w:color w:val="000000"/>
                      <w:shd w:val="clear" w:color="auto" w:fill="FFFFFF"/>
                    </w:rPr>
                    <w:t xml:space="preserve"> № 1</w:t>
                  </w:r>
                  <w:r>
                    <w:rPr>
                      <w:i/>
                      <w:color w:val="000000"/>
                      <w:shd w:val="clear" w:color="auto" w:fill="FFFFFF"/>
                      <w:lang w:val="uk-UA"/>
                    </w:rPr>
                    <w:t>.</w:t>
                  </w:r>
                </w:p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5A4DAD">
              <w:trPr>
                <w:trHeight w:val="319"/>
              </w:trPr>
              <w:tc>
                <w:tcPr>
                  <w:tcW w:w="3794" w:type="dxa"/>
                  <w:hideMark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shd w:val="clear" w:color="auto" w:fill="FFFFFF"/>
                      <w:lang w:val="uk-UA"/>
                    </w:rPr>
                    <w:t xml:space="preserve">Наказ </w:t>
                  </w:r>
                  <w:proofErr w:type="spellStart"/>
                  <w:r>
                    <w:rPr>
                      <w:i/>
                      <w:shd w:val="clear" w:color="auto" w:fill="FFFFFF"/>
                      <w:lang w:val="uk-UA"/>
                    </w:rPr>
                    <w:t>Міненерговугілля</w:t>
                  </w:r>
                  <w:proofErr w:type="spellEnd"/>
                  <w:r>
                    <w:rPr>
                      <w:i/>
                      <w:shd w:val="clear" w:color="auto" w:fill="FFFFFF"/>
                      <w:lang w:val="uk-UA"/>
                    </w:rPr>
                    <w:t xml:space="preserve"> України від 24.07.2017 №476</w:t>
                  </w:r>
                </w:p>
              </w:tc>
              <w:tc>
                <w:tcPr>
                  <w:tcW w:w="6520" w:type="dxa"/>
                  <w:hideMark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shd w:val="clear" w:color="auto" w:fill="FFFFFF"/>
                      <w:lang w:val="uk-UA"/>
                    </w:rPr>
                    <w:t>Правила улаштування електроустановок (ПУЕ).</w:t>
                  </w:r>
                </w:p>
              </w:tc>
            </w:tr>
            <w:tr w:rsidR="005A4DAD">
              <w:tc>
                <w:tcPr>
                  <w:tcW w:w="3794" w:type="dxa"/>
                  <w:hideMark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spacing w:before="120"/>
                    <w:rPr>
                      <w:i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shd w:val="clear" w:color="auto" w:fill="FFFFFF"/>
                      <w:lang w:val="uk-UA"/>
                    </w:rPr>
                    <w:t>ДСТУ Б В.2.5-82:2016</w:t>
                  </w:r>
                </w:p>
              </w:tc>
              <w:tc>
                <w:tcPr>
                  <w:tcW w:w="6520" w:type="dxa"/>
                </w:tcPr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spacing w:before="120"/>
                    <w:rPr>
                      <w:i/>
                      <w:shd w:val="clear" w:color="auto" w:fill="FFFFFF"/>
                      <w:lang w:val="uk-UA"/>
                    </w:rPr>
                  </w:pPr>
                  <w:r>
                    <w:rPr>
                      <w:i/>
                      <w:shd w:val="clear" w:color="auto" w:fill="FFFFFF"/>
                      <w:lang w:val="uk-UA"/>
                    </w:rPr>
                    <w:t>Електробезпека в будівлях і спорудах. Вимоги до захисних заходів від ураження електричним струмом.</w:t>
                  </w:r>
                </w:p>
                <w:p w:rsidR="005A4DAD" w:rsidRDefault="005A4DA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z w:val="16"/>
                      <w:szCs w:val="16"/>
                      <w:shd w:val="clear" w:color="auto" w:fill="FFFFFF"/>
                      <w:lang w:val="uk-UA"/>
                    </w:rPr>
                  </w:pPr>
                </w:p>
              </w:tc>
            </w:tr>
          </w:tbl>
          <w:p w:rsidR="005A4DAD" w:rsidRDefault="005A4DAD">
            <w:pPr>
              <w:pStyle w:val="rvps2"/>
              <w:rPr>
                <w:bCs/>
                <w:i/>
                <w:iCs/>
                <w:szCs w:val="26"/>
                <w:lang w:val="uk-UA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5A4DAD" w:rsidRDefault="005A4DAD">
            <w:pPr>
              <w:pStyle w:val="rvps2"/>
              <w:rPr>
                <w:bCs/>
                <w:i/>
                <w:iCs/>
                <w:szCs w:val="26"/>
                <w:lang w:val="uk-UA"/>
              </w:rPr>
            </w:pPr>
          </w:p>
        </w:tc>
      </w:tr>
      <w:tr w:rsidR="005A4DAD" w:rsidTr="005A4DAD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5A4DAD" w:rsidRDefault="005A4DAD">
            <w:pPr>
              <w:pStyle w:val="rvps2"/>
              <w:rPr>
                <w:bCs/>
                <w:i/>
                <w:iCs/>
                <w:sz w:val="12"/>
                <w:szCs w:val="12"/>
                <w:lang w:val="uk-UA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5A4DAD" w:rsidRDefault="005A4DAD">
            <w:pPr>
              <w:pStyle w:val="rvps2"/>
              <w:rPr>
                <w:bCs/>
                <w:i/>
                <w:iCs/>
                <w:sz w:val="12"/>
                <w:szCs w:val="12"/>
                <w:lang w:val="uk-UA"/>
              </w:rPr>
            </w:pPr>
          </w:p>
        </w:tc>
      </w:tr>
    </w:tbl>
    <w:p w:rsidR="005A4DAD" w:rsidRPr="005A4DAD" w:rsidRDefault="005A4DAD" w:rsidP="005A4DAD">
      <w:pPr>
        <w:tabs>
          <w:tab w:val="left" w:pos="426"/>
        </w:tabs>
        <w:rPr>
          <w:i/>
          <w:szCs w:val="26"/>
          <w:lang w:val="uk-UA"/>
        </w:rPr>
      </w:pPr>
      <w:r w:rsidRPr="005A4DAD">
        <w:rPr>
          <w:i/>
          <w:szCs w:val="26"/>
          <w:lang w:val="uk-UA"/>
        </w:rPr>
        <w:t>Мета і завдання реалізації</w:t>
      </w:r>
      <w:r w:rsidRPr="005A4DAD">
        <w:rPr>
          <w:szCs w:val="26"/>
          <w:lang w:val="uk-UA"/>
        </w:rPr>
        <w:t xml:space="preserve"> </w:t>
      </w:r>
      <w:proofErr w:type="spellStart"/>
      <w:r w:rsidRPr="005A4DAD">
        <w:rPr>
          <w:i/>
          <w:color w:val="001D35"/>
          <w:szCs w:val="26"/>
          <w:shd w:val="clear" w:color="auto" w:fill="FFFFFF"/>
          <w:lang w:val="uk-UA"/>
        </w:rPr>
        <w:t>проєкту</w:t>
      </w:r>
      <w:proofErr w:type="spellEnd"/>
      <w:r w:rsidRPr="005A4DAD">
        <w:rPr>
          <w:i/>
          <w:color w:val="001D35"/>
          <w:szCs w:val="26"/>
          <w:shd w:val="clear" w:color="auto" w:fill="FFFFFF"/>
          <w:lang w:val="uk-UA"/>
        </w:rPr>
        <w:t xml:space="preserve"> протипожежного захисту будівель і споруд - це комплекс організаційних та технічних заходів, спрямованих на запобігання виникненню пожеж, обмеження їх розповсюдження та забезпечення евакуації людей, а також гасіння пожеж з метою </w:t>
      </w:r>
      <w:r w:rsidRPr="005A4DAD">
        <w:rPr>
          <w:i/>
          <w:color w:val="000000"/>
          <w:kern w:val="0"/>
          <w:szCs w:val="26"/>
          <w:lang w:val="uk-UA"/>
        </w:rPr>
        <w:t>забезпечення безпеки та захисту майна, життя та здоров’я персоналу. Включає</w:t>
      </w:r>
      <w:r w:rsidRPr="005A4DAD">
        <w:rPr>
          <w:i/>
          <w:color w:val="000000"/>
          <w:kern w:val="0"/>
          <w:szCs w:val="26"/>
        </w:rPr>
        <w:t xml:space="preserve"> в себе </w:t>
      </w:r>
      <w:r w:rsidRPr="005A4DAD">
        <w:rPr>
          <w:i/>
          <w:color w:val="000000"/>
          <w:kern w:val="0"/>
          <w:szCs w:val="26"/>
          <w:lang w:val="uk-UA"/>
        </w:rPr>
        <w:t>аналіз</w:t>
      </w:r>
      <w:r w:rsidRPr="005A4DAD">
        <w:rPr>
          <w:i/>
          <w:color w:val="000000"/>
          <w:kern w:val="0"/>
          <w:szCs w:val="26"/>
        </w:rPr>
        <w:t xml:space="preserve"> </w:t>
      </w:r>
      <w:r w:rsidRPr="005A4DAD">
        <w:rPr>
          <w:i/>
          <w:color w:val="000000"/>
          <w:kern w:val="0"/>
          <w:szCs w:val="26"/>
          <w:lang w:val="uk-UA"/>
        </w:rPr>
        <w:t>ризиків</w:t>
      </w:r>
      <w:r w:rsidRPr="005A4DAD">
        <w:rPr>
          <w:i/>
          <w:color w:val="000000"/>
          <w:kern w:val="0"/>
          <w:szCs w:val="26"/>
        </w:rPr>
        <w:t xml:space="preserve">, </w:t>
      </w:r>
      <w:r w:rsidRPr="005A4DAD">
        <w:rPr>
          <w:i/>
          <w:color w:val="000000"/>
          <w:kern w:val="0"/>
          <w:szCs w:val="26"/>
          <w:lang w:val="uk-UA"/>
        </w:rPr>
        <w:t>вибір</w:t>
      </w:r>
      <w:r w:rsidRPr="005A4DAD">
        <w:rPr>
          <w:i/>
          <w:color w:val="000000"/>
          <w:kern w:val="0"/>
          <w:szCs w:val="26"/>
        </w:rPr>
        <w:t xml:space="preserve"> </w:t>
      </w:r>
      <w:r w:rsidRPr="005A4DAD">
        <w:rPr>
          <w:i/>
          <w:color w:val="000000"/>
          <w:kern w:val="0"/>
          <w:szCs w:val="26"/>
          <w:lang w:val="uk-UA"/>
        </w:rPr>
        <w:t>необхідного</w:t>
      </w:r>
      <w:r w:rsidRPr="005A4DAD">
        <w:rPr>
          <w:i/>
          <w:color w:val="000000"/>
          <w:kern w:val="0"/>
          <w:szCs w:val="26"/>
        </w:rPr>
        <w:t xml:space="preserve"> </w:t>
      </w:r>
      <w:r w:rsidRPr="005A4DAD">
        <w:rPr>
          <w:i/>
          <w:color w:val="000000"/>
          <w:kern w:val="0"/>
          <w:szCs w:val="26"/>
          <w:lang w:val="uk-UA"/>
        </w:rPr>
        <w:t>обладнання</w:t>
      </w:r>
      <w:r w:rsidRPr="005A4DAD">
        <w:rPr>
          <w:i/>
          <w:color w:val="000000"/>
          <w:kern w:val="0"/>
          <w:szCs w:val="26"/>
        </w:rPr>
        <w:t xml:space="preserve"> та </w:t>
      </w:r>
      <w:r w:rsidRPr="005A4DAD">
        <w:rPr>
          <w:i/>
          <w:color w:val="000000"/>
          <w:kern w:val="0"/>
          <w:szCs w:val="26"/>
          <w:lang w:val="uk-UA"/>
        </w:rPr>
        <w:t>послуг</w:t>
      </w:r>
      <w:r w:rsidRPr="005A4DAD">
        <w:rPr>
          <w:i/>
          <w:color w:val="000000"/>
          <w:kern w:val="0"/>
          <w:szCs w:val="26"/>
        </w:rPr>
        <w:t xml:space="preserve">, а </w:t>
      </w:r>
      <w:r w:rsidRPr="005A4DAD">
        <w:rPr>
          <w:i/>
          <w:color w:val="000000"/>
          <w:kern w:val="0"/>
          <w:szCs w:val="26"/>
          <w:lang w:val="uk-UA"/>
        </w:rPr>
        <w:t>також</w:t>
      </w:r>
      <w:r w:rsidRPr="005A4DAD">
        <w:rPr>
          <w:i/>
          <w:color w:val="000000"/>
          <w:kern w:val="0"/>
          <w:szCs w:val="26"/>
        </w:rPr>
        <w:t xml:space="preserve"> </w:t>
      </w:r>
      <w:r w:rsidRPr="005A4DAD">
        <w:rPr>
          <w:i/>
          <w:color w:val="000000"/>
          <w:kern w:val="0"/>
          <w:szCs w:val="26"/>
          <w:lang w:val="uk-UA"/>
        </w:rPr>
        <w:t>визначення</w:t>
      </w:r>
      <w:r w:rsidRPr="005A4DAD">
        <w:rPr>
          <w:i/>
          <w:color w:val="000000"/>
          <w:kern w:val="0"/>
          <w:szCs w:val="26"/>
        </w:rPr>
        <w:t xml:space="preserve"> потреби в заходах </w:t>
      </w:r>
      <w:r w:rsidRPr="005A4DAD">
        <w:rPr>
          <w:i/>
          <w:color w:val="000000"/>
          <w:kern w:val="0"/>
          <w:szCs w:val="26"/>
          <w:lang w:val="uk-UA"/>
        </w:rPr>
        <w:t>протипожежного</w:t>
      </w:r>
      <w:r w:rsidRPr="005A4DAD">
        <w:rPr>
          <w:i/>
          <w:color w:val="000000"/>
          <w:kern w:val="0"/>
          <w:szCs w:val="26"/>
        </w:rPr>
        <w:t xml:space="preserve"> </w:t>
      </w:r>
      <w:r w:rsidRPr="005A4DAD">
        <w:rPr>
          <w:i/>
          <w:color w:val="000000"/>
          <w:kern w:val="0"/>
          <w:szCs w:val="26"/>
          <w:lang w:val="uk-UA"/>
        </w:rPr>
        <w:t>захисту, а саме</w:t>
      </w:r>
      <w:r w:rsidRPr="005A4DAD">
        <w:rPr>
          <w:i/>
          <w:szCs w:val="26"/>
          <w:lang w:val="uk-UA"/>
        </w:rPr>
        <w:t xml:space="preserve">: </w:t>
      </w:r>
    </w:p>
    <w:p w:rsidR="005A4DAD" w:rsidRPr="005A4DAD" w:rsidRDefault="005A4DAD" w:rsidP="005A4DAD">
      <w:pPr>
        <w:pStyle w:val="a3"/>
        <w:tabs>
          <w:tab w:val="left" w:pos="426"/>
        </w:tabs>
        <w:rPr>
          <w:i/>
          <w:color w:val="001D35"/>
          <w:szCs w:val="26"/>
          <w:shd w:val="clear" w:color="auto" w:fill="FFFFFF"/>
          <w:lang w:val="uk-UA"/>
        </w:rPr>
      </w:pPr>
      <w:r w:rsidRPr="005A4DAD">
        <w:rPr>
          <w:i/>
          <w:szCs w:val="26"/>
          <w:lang w:val="uk-UA"/>
        </w:rPr>
        <w:t xml:space="preserve">- </w:t>
      </w:r>
      <w:proofErr w:type="spellStart"/>
      <w:r w:rsidRPr="005A4DAD">
        <w:rPr>
          <w:i/>
          <w:color w:val="001D35"/>
          <w:szCs w:val="26"/>
          <w:shd w:val="clear" w:color="auto" w:fill="FFFFFF"/>
          <w:lang w:val="uk-UA"/>
        </w:rPr>
        <w:t>проєктування</w:t>
      </w:r>
      <w:proofErr w:type="spellEnd"/>
      <w:r w:rsidRPr="005A4DAD">
        <w:rPr>
          <w:i/>
          <w:color w:val="001D35"/>
          <w:szCs w:val="26"/>
          <w:shd w:val="clear" w:color="auto" w:fill="FFFFFF"/>
          <w:lang w:val="uk-UA"/>
        </w:rPr>
        <w:t>;</w:t>
      </w:r>
    </w:p>
    <w:p w:rsidR="005A4DAD" w:rsidRPr="005A4DAD" w:rsidRDefault="005A4DAD" w:rsidP="005A4DAD">
      <w:pPr>
        <w:pStyle w:val="a3"/>
        <w:tabs>
          <w:tab w:val="left" w:pos="426"/>
        </w:tabs>
        <w:rPr>
          <w:i/>
          <w:color w:val="001D35"/>
          <w:szCs w:val="26"/>
          <w:shd w:val="clear" w:color="auto" w:fill="FFFFFF"/>
          <w:lang w:val="uk-UA"/>
        </w:rPr>
      </w:pPr>
      <w:r w:rsidRPr="005A4DAD">
        <w:rPr>
          <w:i/>
          <w:color w:val="001D35"/>
          <w:szCs w:val="26"/>
          <w:shd w:val="clear" w:color="auto" w:fill="FFFFFF"/>
          <w:lang w:val="uk-UA"/>
        </w:rPr>
        <w:t>- монтаж;</w:t>
      </w:r>
    </w:p>
    <w:p w:rsidR="00566181" w:rsidRPr="005A4DAD" w:rsidRDefault="005A4DAD" w:rsidP="005A4DAD">
      <w:pPr>
        <w:pStyle w:val="a3"/>
        <w:tabs>
          <w:tab w:val="left" w:pos="142"/>
        </w:tabs>
        <w:spacing w:after="120"/>
        <w:rPr>
          <w:rFonts w:cs="Arial"/>
          <w:i/>
          <w:szCs w:val="26"/>
          <w:lang w:val="uk-UA"/>
        </w:rPr>
      </w:pPr>
      <w:r w:rsidRPr="005A4DAD">
        <w:rPr>
          <w:i/>
          <w:color w:val="001D35"/>
          <w:szCs w:val="26"/>
          <w:shd w:val="clear" w:color="auto" w:fill="FFFFFF"/>
          <w:lang w:val="uk-UA"/>
        </w:rPr>
        <w:t>-</w:t>
      </w:r>
      <w:bookmarkStart w:id="5" w:name="_GoBack"/>
      <w:bookmarkEnd w:id="5"/>
      <w:r w:rsidRPr="005A4DAD">
        <w:rPr>
          <w:i/>
          <w:color w:val="001D35"/>
          <w:szCs w:val="26"/>
          <w:shd w:val="clear" w:color="auto" w:fill="FFFFFF"/>
          <w:lang w:val="uk-UA"/>
        </w:rPr>
        <w:tab/>
        <w:t xml:space="preserve">експлуатацію систем пожежної сигналізації, автоматичного пожежогасіння, оповіщення про </w:t>
      </w:r>
      <w:proofErr w:type="spellStart"/>
      <w:r w:rsidRPr="005A4DAD">
        <w:rPr>
          <w:i/>
          <w:color w:val="001D35"/>
          <w:szCs w:val="26"/>
          <w:shd w:val="clear" w:color="auto" w:fill="FFFFFF"/>
          <w:lang w:val="uk-UA"/>
        </w:rPr>
        <w:t>пож</w:t>
      </w:r>
      <w:proofErr w:type="spellEnd"/>
      <w:r w:rsidRPr="005A4DAD">
        <w:rPr>
          <w:i/>
          <w:color w:val="001D35"/>
          <w:szCs w:val="26"/>
          <w:shd w:val="clear" w:color="auto" w:fill="FFFFFF"/>
        </w:rPr>
        <w:t xml:space="preserve">ежу, </w:t>
      </w:r>
      <w:proofErr w:type="spellStart"/>
      <w:r w:rsidRPr="005A4DAD">
        <w:rPr>
          <w:i/>
          <w:color w:val="001D35"/>
          <w:szCs w:val="26"/>
          <w:shd w:val="clear" w:color="auto" w:fill="FFFFFF"/>
          <w:lang w:val="uk-UA"/>
        </w:rPr>
        <w:t>протидимного</w:t>
      </w:r>
      <w:proofErr w:type="spellEnd"/>
      <w:r w:rsidRPr="005A4DAD">
        <w:rPr>
          <w:i/>
          <w:color w:val="001D35"/>
          <w:szCs w:val="26"/>
          <w:shd w:val="clear" w:color="auto" w:fill="FFFFFF"/>
        </w:rPr>
        <w:t xml:space="preserve"> </w:t>
      </w:r>
      <w:r w:rsidRPr="005A4DAD">
        <w:rPr>
          <w:i/>
          <w:color w:val="001D35"/>
          <w:szCs w:val="26"/>
          <w:shd w:val="clear" w:color="auto" w:fill="FFFFFF"/>
          <w:lang w:val="uk-UA"/>
        </w:rPr>
        <w:t>захисту</w:t>
      </w:r>
      <w:r w:rsidRPr="005A4DAD">
        <w:rPr>
          <w:i/>
          <w:color w:val="001D35"/>
          <w:szCs w:val="26"/>
          <w:shd w:val="clear" w:color="auto" w:fill="FFFFFF"/>
        </w:rPr>
        <w:t xml:space="preserve"> та </w:t>
      </w:r>
      <w:r w:rsidRPr="005A4DAD">
        <w:rPr>
          <w:i/>
          <w:color w:val="001D35"/>
          <w:szCs w:val="26"/>
          <w:shd w:val="clear" w:color="auto" w:fill="FFFFFF"/>
          <w:lang w:val="uk-UA"/>
        </w:rPr>
        <w:t>інших</w:t>
      </w:r>
      <w:r w:rsidRPr="005A4DAD">
        <w:rPr>
          <w:i/>
          <w:color w:val="001D35"/>
          <w:szCs w:val="26"/>
          <w:shd w:val="clear" w:color="auto" w:fill="FFFFFF"/>
        </w:rPr>
        <w:t xml:space="preserve"> </w:t>
      </w:r>
      <w:r w:rsidRPr="005A4DAD">
        <w:rPr>
          <w:i/>
          <w:color w:val="001D35"/>
          <w:szCs w:val="26"/>
          <w:shd w:val="clear" w:color="auto" w:fill="FFFFFF"/>
          <w:lang w:val="uk-UA"/>
        </w:rPr>
        <w:t>засобів</w:t>
      </w:r>
      <w:r w:rsidRPr="005A4DAD">
        <w:rPr>
          <w:i/>
          <w:color w:val="001D35"/>
          <w:szCs w:val="26"/>
          <w:shd w:val="clear" w:color="auto" w:fill="FFFFFF"/>
        </w:rPr>
        <w:t>.</w:t>
      </w:r>
      <w:r w:rsidRPr="005A4DAD">
        <w:rPr>
          <w:rStyle w:val="uv3um"/>
          <w:color w:val="001D35"/>
          <w:szCs w:val="26"/>
          <w:shd w:val="clear" w:color="auto" w:fill="FFFFFF"/>
        </w:rPr>
        <w:t> </w:t>
      </w:r>
    </w:p>
    <w:sectPr w:rsidR="00566181" w:rsidRPr="005A4DAD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1"/>
  </w:num>
  <w:num w:numId="6">
    <w:abstractNumId w:val="9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0"/>
  </w:num>
  <w:num w:numId="11">
    <w:abstractNumId w:val="10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4C0F"/>
    <w:rsid w:val="002B7795"/>
    <w:rsid w:val="002D7D85"/>
    <w:rsid w:val="002E2B33"/>
    <w:rsid w:val="002E5D3F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19E7"/>
    <w:rsid w:val="005729F0"/>
    <w:rsid w:val="005731CA"/>
    <w:rsid w:val="00573457"/>
    <w:rsid w:val="005747C5"/>
    <w:rsid w:val="00582408"/>
    <w:rsid w:val="00583D65"/>
    <w:rsid w:val="005909A1"/>
    <w:rsid w:val="005A132C"/>
    <w:rsid w:val="005A4460"/>
    <w:rsid w:val="005A4DAD"/>
    <w:rsid w:val="005A4FB5"/>
    <w:rsid w:val="005A5AB6"/>
    <w:rsid w:val="005A76AD"/>
    <w:rsid w:val="005B2839"/>
    <w:rsid w:val="005C235C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c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c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search?rlz=1C1GCEV_en&amp;cs=0&amp;sca_esv=cc828bb36e4d80dc&amp;q=%D0%94%D0%A1%D0%A2%D0%A3+ISO+23601%3A2019&amp;sa=X&amp;ved=2ahUKEwjuj_vwv4SPAxUESPEDHbqHBp8QxccNegQIVxAB&amp;mstk=AUtExfCRoGh9fbNAsN1ZYAj9QZy8j2xjBd4gG6T2HO_Xpkad8VpMcaBG-wcdvSIBohwP4CEys05c_PIcfqXJ5DgGXoWD1MIa1bpxTyn9BKWxZxFEmMDjWZxrYOX1qvx-YDkh5fg&amp;csui=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0A00A-6D51-4ED5-B194-0510DCAAA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509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80</cp:revision>
  <cp:lastPrinted>2024-03-13T12:39:00Z</cp:lastPrinted>
  <dcterms:created xsi:type="dcterms:W3CDTF">2024-03-13T12:39:00Z</dcterms:created>
  <dcterms:modified xsi:type="dcterms:W3CDTF">2025-09-12T08:50:00Z</dcterms:modified>
</cp:coreProperties>
</file>