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AB41A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AB41A2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AB41A2">
        <w:rPr>
          <w:sz w:val="26"/>
          <w:szCs w:val="26"/>
          <w:lang w:val="uk-UA"/>
        </w:rPr>
        <w:t xml:space="preserve"> </w:t>
      </w:r>
      <w:r w:rsidR="00126932" w:rsidRPr="00AB41A2">
        <w:rPr>
          <w:i/>
          <w:sz w:val="26"/>
          <w:szCs w:val="26"/>
          <w:lang w:val="uk-UA"/>
        </w:rPr>
        <w:t>філія</w:t>
      </w:r>
      <w:r w:rsidR="00126932" w:rsidRPr="00AB41A2">
        <w:rPr>
          <w:sz w:val="26"/>
          <w:szCs w:val="26"/>
          <w:lang w:val="uk-UA"/>
        </w:rPr>
        <w:t xml:space="preserve"> «</w:t>
      </w:r>
      <w:r w:rsidR="00126932" w:rsidRPr="00AB41A2">
        <w:rPr>
          <w:i/>
          <w:sz w:val="26"/>
          <w:szCs w:val="26"/>
          <w:lang w:val="uk-UA"/>
        </w:rPr>
        <w:t>ВП </w:t>
      </w:r>
      <w:r w:rsidRPr="00AB41A2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AB41A2">
        <w:rPr>
          <w:i/>
          <w:sz w:val="26"/>
          <w:szCs w:val="26"/>
          <w:lang w:val="uk-UA"/>
        </w:rPr>
        <w:t>АТ </w:t>
      </w:r>
      <w:r w:rsidRPr="00AB41A2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AB41A2">
        <w:rPr>
          <w:i/>
          <w:sz w:val="26"/>
          <w:szCs w:val="26"/>
          <w:lang w:val="uk-UA"/>
        </w:rPr>
        <w:t>, код ЄДРПОУ</w:t>
      </w:r>
      <w:r w:rsidR="00F30944" w:rsidRPr="00AB41A2">
        <w:rPr>
          <w:b/>
          <w:sz w:val="26"/>
          <w:szCs w:val="26"/>
          <w:lang w:val="uk-UA"/>
        </w:rPr>
        <w:t xml:space="preserve"> </w:t>
      </w:r>
      <w:r w:rsidR="00F30944" w:rsidRPr="00AB41A2">
        <w:rPr>
          <w:i/>
          <w:sz w:val="26"/>
          <w:szCs w:val="26"/>
          <w:lang w:val="uk-UA"/>
        </w:rPr>
        <w:t>25881800</w:t>
      </w:r>
      <w:r w:rsidRPr="00AB41A2">
        <w:rPr>
          <w:i/>
          <w:sz w:val="26"/>
          <w:szCs w:val="26"/>
          <w:lang w:val="uk-UA"/>
        </w:rPr>
        <w:t>.</w:t>
      </w:r>
    </w:p>
    <w:p w:rsidR="009D5859" w:rsidRPr="00AB41A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AB41A2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AB41A2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C5033B" w:rsidRPr="00C5033B">
        <w:rPr>
          <w:i/>
          <w:sz w:val="26"/>
          <w:szCs w:val="26"/>
          <w:lang w:val="uk-UA"/>
        </w:rPr>
        <w:t>https://prozorro.gov.ua/tender/UA-2025-0</w:t>
      </w:r>
      <w:r w:rsidR="00F03E7D">
        <w:rPr>
          <w:i/>
          <w:sz w:val="26"/>
          <w:szCs w:val="26"/>
          <w:lang w:val="uk-UA"/>
        </w:rPr>
        <w:t>4</w:t>
      </w:r>
      <w:r w:rsidR="00C5033B" w:rsidRPr="00C5033B">
        <w:rPr>
          <w:i/>
          <w:sz w:val="26"/>
          <w:szCs w:val="26"/>
          <w:lang w:val="uk-UA"/>
        </w:rPr>
        <w:t>-2</w:t>
      </w:r>
      <w:r w:rsidR="00F03E7D">
        <w:rPr>
          <w:i/>
          <w:sz w:val="26"/>
          <w:szCs w:val="26"/>
          <w:lang w:val="uk-UA"/>
        </w:rPr>
        <w:t>9</w:t>
      </w:r>
      <w:r w:rsidR="00C5033B" w:rsidRPr="00C5033B">
        <w:rPr>
          <w:i/>
          <w:sz w:val="26"/>
          <w:szCs w:val="26"/>
          <w:lang w:val="uk-UA"/>
        </w:rPr>
        <w:t>-00</w:t>
      </w:r>
      <w:r w:rsidR="00F03E7D">
        <w:rPr>
          <w:i/>
          <w:sz w:val="26"/>
          <w:szCs w:val="26"/>
          <w:lang w:val="uk-UA"/>
        </w:rPr>
        <w:t>3718</w:t>
      </w:r>
      <w:r w:rsidR="00C5033B" w:rsidRPr="00C5033B">
        <w:rPr>
          <w:i/>
          <w:sz w:val="26"/>
          <w:szCs w:val="26"/>
          <w:lang w:val="uk-UA"/>
        </w:rPr>
        <w:t>-a</w:t>
      </w:r>
      <w:r w:rsidR="00032D0A" w:rsidRPr="00AB41A2">
        <w:rPr>
          <w:i/>
          <w:sz w:val="26"/>
          <w:szCs w:val="26"/>
          <w:lang w:val="uk-UA"/>
        </w:rPr>
        <w:t>.</w:t>
      </w:r>
    </w:p>
    <w:p w:rsidR="009D5859" w:rsidRPr="00AB41A2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AB41A2">
        <w:rPr>
          <w:b/>
          <w:sz w:val="26"/>
          <w:szCs w:val="26"/>
          <w:lang w:val="uk-UA"/>
        </w:rPr>
        <w:t>3</w:t>
      </w:r>
      <w:r w:rsidR="009D5859" w:rsidRPr="00AB41A2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AB41A2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C5033B" w:rsidRPr="00C5033B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42660000-0 Інструменти для паяння м’яким і твердим припоєм та для зварювання, машини та устаткування для поверхневої термообробки і гарячого напилювання (Зварювальний апарат </w:t>
      </w:r>
      <w:proofErr w:type="spellStart"/>
      <w:r w:rsidR="00C5033B" w:rsidRPr="00C5033B">
        <w:rPr>
          <w:rFonts w:eastAsia="Times New Roman"/>
          <w:i/>
          <w:color w:val="auto"/>
          <w:sz w:val="26"/>
          <w:szCs w:val="26"/>
          <w:lang w:val="uk-UA" w:eastAsia="ru-RU"/>
        </w:rPr>
        <w:t>інверторного</w:t>
      </w:r>
      <w:proofErr w:type="spellEnd"/>
      <w:r w:rsidR="00C5033B" w:rsidRPr="00C5033B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типу з цифровим мікропроцесорним управлінням)</w:t>
      </w:r>
      <w:r w:rsidR="0036790A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5033B" w:rsidRDefault="00F30944" w:rsidP="00C5033B">
      <w:pPr>
        <w:numPr>
          <w:ilvl w:val="0"/>
          <w:numId w:val="10"/>
        </w:numPr>
        <w:tabs>
          <w:tab w:val="left" w:pos="-3544"/>
          <w:tab w:val="left" w:pos="1134"/>
        </w:tabs>
        <w:spacing w:before="120"/>
        <w:ind w:left="0" w:firstLine="709"/>
        <w:jc w:val="both"/>
        <w:rPr>
          <w:i/>
          <w:szCs w:val="26"/>
          <w:lang w:val="uk-UA"/>
        </w:rPr>
      </w:pPr>
      <w:r w:rsidRPr="0010498F">
        <w:rPr>
          <w:rFonts w:cs="Times New Roman"/>
          <w:bCs w:val="0"/>
          <w:i/>
          <w:iCs w:val="0"/>
          <w:kern w:val="0"/>
          <w:szCs w:val="26"/>
          <w:lang w:val="uk-UA"/>
        </w:rPr>
        <w:t>4</w:t>
      </w:r>
      <w:r w:rsidR="009D5859" w:rsidRPr="0010498F">
        <w:rPr>
          <w:rFonts w:cs="Times New Roman"/>
          <w:bCs w:val="0"/>
          <w:i/>
          <w:iCs w:val="0"/>
          <w:kern w:val="0"/>
          <w:szCs w:val="26"/>
          <w:lang w:val="uk-UA"/>
        </w:rPr>
        <w:t>. Очікувана вартість закупівлі</w:t>
      </w:r>
      <w:r w:rsidR="0019430E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: </w:t>
      </w:r>
      <w:r w:rsidR="00C5033B">
        <w:rPr>
          <w:i/>
          <w:lang w:val="uk-UA" w:eastAsia="uk-UA"/>
        </w:rPr>
        <w:t>200 279,45</w:t>
      </w:r>
      <w:r w:rsidR="00C5033B">
        <w:rPr>
          <w:b/>
          <w:i/>
          <w:lang w:val="uk-UA" w:eastAsia="uk-UA"/>
        </w:rPr>
        <w:t xml:space="preserve"> </w:t>
      </w:r>
      <w:r w:rsidR="00C5033B">
        <w:rPr>
          <w:i/>
          <w:lang w:val="uk-UA" w:eastAsia="uk-UA"/>
        </w:rPr>
        <w:t xml:space="preserve"> грн., без ПДВ, крім того ПДВ 40 055,89 грн., всього з ПДВ 240 335,34 грн.</w:t>
      </w:r>
    </w:p>
    <w:p w:rsidR="00F30944" w:rsidRPr="00AB41A2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AB41A2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AB41A2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AB41A2">
        <w:rPr>
          <w:b/>
          <w:sz w:val="26"/>
          <w:szCs w:val="26"/>
          <w:lang w:val="uk-UA"/>
        </w:rPr>
        <w:t>5</w:t>
      </w:r>
      <w:r w:rsidR="009D5859" w:rsidRPr="00AB41A2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AB41A2">
        <w:rPr>
          <w:bCs/>
          <w:iCs/>
          <w:sz w:val="26"/>
          <w:szCs w:val="26"/>
          <w:lang w:val="uk-UA"/>
        </w:rPr>
        <w:t xml:space="preserve"> </w:t>
      </w:r>
      <w:r w:rsidR="009D5859" w:rsidRPr="00AB41A2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AB41A2">
        <w:rPr>
          <w:b/>
          <w:bCs/>
          <w:iCs/>
          <w:sz w:val="26"/>
          <w:szCs w:val="26"/>
          <w:lang w:val="uk-UA"/>
        </w:rPr>
        <w:t>:</w:t>
      </w:r>
      <w:r w:rsidR="00B628B0" w:rsidRPr="00AB41A2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AB41A2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AB41A2">
        <w:rPr>
          <w:i/>
          <w:sz w:val="26"/>
          <w:szCs w:val="26"/>
          <w:lang w:val="uk-UA"/>
        </w:rPr>
        <w:t xml:space="preserve"> </w:t>
      </w:r>
    </w:p>
    <w:p w:rsidR="00C5033B" w:rsidRDefault="00C5033B" w:rsidP="00F03E7D">
      <w:pPr>
        <w:ind w:firstLine="709"/>
        <w:jc w:val="both"/>
        <w:rPr>
          <w:rFonts w:cs="Times New Roman"/>
          <w:i/>
          <w:szCs w:val="26"/>
          <w:lang w:val="uk-UA" w:bidi="uk-UA"/>
        </w:rPr>
      </w:pPr>
      <w:bookmarkStart w:id="5" w:name="_GoBack"/>
      <w:r>
        <w:rPr>
          <w:rFonts w:cs="Times New Roman"/>
          <w:i/>
          <w:szCs w:val="26"/>
          <w:lang w:val="uk-UA" w:bidi="uk-UA"/>
        </w:rPr>
        <w:t>В рамках реалізації проекту ЦСВЯП за технологією компанії «</w:t>
      </w:r>
      <w:proofErr w:type="spellStart"/>
      <w:r>
        <w:rPr>
          <w:rFonts w:cs="Times New Roman"/>
          <w:i/>
          <w:szCs w:val="26"/>
          <w:lang w:val="uk-UA"/>
        </w:rPr>
        <w:t>Holtec</w:t>
      </w:r>
      <w:proofErr w:type="spellEnd"/>
      <w:r>
        <w:rPr>
          <w:rFonts w:cs="Times New Roman"/>
          <w:i/>
          <w:szCs w:val="26"/>
          <w:lang w:val="uk-UA" w:bidi="uk-UA"/>
        </w:rPr>
        <w:t xml:space="preserve"> </w:t>
      </w:r>
      <w:proofErr w:type="spellStart"/>
      <w:r>
        <w:rPr>
          <w:rFonts w:cs="Times New Roman"/>
          <w:i/>
          <w:szCs w:val="26"/>
          <w:lang w:val="uk-UA"/>
        </w:rPr>
        <w:t>International</w:t>
      </w:r>
      <w:proofErr w:type="spellEnd"/>
      <w:r>
        <w:rPr>
          <w:rFonts w:cs="Times New Roman"/>
          <w:i/>
          <w:szCs w:val="26"/>
          <w:lang w:val="uk-UA" w:bidi="uk-UA"/>
        </w:rPr>
        <w:t>» для виконання процесу герметизації багатоцільових контейнерів (далі БЦК) призначених для тривалого зберігання ВЯП, технологічний процес передбачає заварювання нестандартних важкодоступних зварних з'єднань вентиляційного та дренажного отворів.</w:t>
      </w:r>
    </w:p>
    <w:p w:rsidR="00566181" w:rsidRPr="00AB41A2" w:rsidRDefault="00C5033B" w:rsidP="00F03E7D">
      <w:pPr>
        <w:jc w:val="both"/>
        <w:rPr>
          <w:szCs w:val="26"/>
          <w:lang w:val="uk-UA"/>
        </w:rPr>
      </w:pPr>
      <w:r>
        <w:rPr>
          <w:rFonts w:cs="Times New Roman"/>
          <w:i/>
          <w:szCs w:val="26"/>
          <w:lang w:val="uk-UA" w:bidi="uk-UA"/>
        </w:rPr>
        <w:t xml:space="preserve">З метою виконання доступу до важкодоступних зварних з'єднань та процесу збирання під час зварювання БЦК необхідне використання  зварювального апарату </w:t>
      </w:r>
      <w:proofErr w:type="spellStart"/>
      <w:r>
        <w:rPr>
          <w:rFonts w:cs="Times New Roman"/>
          <w:i/>
          <w:szCs w:val="26"/>
          <w:lang w:val="uk-UA" w:bidi="uk-UA"/>
        </w:rPr>
        <w:t>інверторного</w:t>
      </w:r>
      <w:proofErr w:type="spellEnd"/>
      <w:r>
        <w:rPr>
          <w:rFonts w:cs="Times New Roman"/>
          <w:i/>
          <w:szCs w:val="26"/>
          <w:lang w:val="uk-UA" w:bidi="uk-UA"/>
        </w:rPr>
        <w:t xml:space="preserve"> типу з цифровим мікропроцесорним управлінням, пальником з гнучкою головкою та</w:t>
      </w:r>
      <w:r>
        <w:rPr>
          <w:rFonts w:eastAsia="Calibri" w:cs="Times New Roman"/>
          <w:i/>
          <w:szCs w:val="26"/>
          <w:lang w:val="uk-UA"/>
        </w:rPr>
        <w:t xml:space="preserve"> </w:t>
      </w:r>
      <w:r>
        <w:rPr>
          <w:rFonts w:cs="Times New Roman"/>
          <w:i/>
          <w:szCs w:val="26"/>
          <w:lang w:val="uk-UA" w:bidi="uk-UA"/>
        </w:rPr>
        <w:t>функцією регулювання зварювальним процесом клавішою дистанційної зміни зварювального струму безпосередньо з пальника, це дозволить регулювати зварювальний струм під час виконання технологічного процесу та забезпечить доступ до важкодоступних зварних з'єднань.</w:t>
      </w:r>
      <w:bookmarkEnd w:id="5"/>
    </w:p>
    <w:sectPr w:rsidR="00566181" w:rsidRPr="00AB41A2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10D636AA"/>
    <w:lvl w:ilvl="0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DBA7D4F"/>
    <w:multiLevelType w:val="multilevel"/>
    <w:tmpl w:val="3106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C21A11"/>
    <w:multiLevelType w:val="multilevel"/>
    <w:tmpl w:val="46F8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498F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47821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662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B41A2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03F6"/>
    <w:rsid w:val="00C5033B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03E7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B41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41A2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B41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41A2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C760-EE9A-4375-B632-0805870F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252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50</cp:revision>
  <cp:lastPrinted>2024-03-13T12:39:00Z</cp:lastPrinted>
  <dcterms:created xsi:type="dcterms:W3CDTF">2024-03-13T12:39:00Z</dcterms:created>
  <dcterms:modified xsi:type="dcterms:W3CDTF">2025-04-29T08:25:00Z</dcterms:modified>
</cp:coreProperties>
</file>