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3A6D42" w:rsidRPr="00CA1CF1">
        <w:rPr>
          <w:i/>
          <w:sz w:val="26"/>
          <w:szCs w:val="26"/>
          <w:lang w:val="uk-UA"/>
        </w:rPr>
        <w:t>https://prozorro.gov.ua/tender/</w:t>
      </w:r>
      <w:r w:rsidR="00CA1CF1" w:rsidRPr="00CA1CF1">
        <w:rPr>
          <w:i/>
          <w:sz w:val="26"/>
          <w:szCs w:val="26"/>
          <w:lang w:val="uk-UA"/>
        </w:rPr>
        <w:t>UA-202</w:t>
      </w:r>
      <w:r w:rsidR="00E714C3">
        <w:rPr>
          <w:i/>
          <w:sz w:val="26"/>
          <w:szCs w:val="26"/>
          <w:lang w:val="uk-UA"/>
        </w:rPr>
        <w:t>5</w:t>
      </w:r>
      <w:r w:rsidR="00CA1CF1" w:rsidRPr="00CA1CF1">
        <w:rPr>
          <w:i/>
          <w:sz w:val="26"/>
          <w:szCs w:val="26"/>
          <w:lang w:val="uk-UA"/>
        </w:rPr>
        <w:t>-</w:t>
      </w:r>
      <w:r w:rsidR="00E714C3">
        <w:rPr>
          <w:i/>
          <w:sz w:val="26"/>
          <w:szCs w:val="26"/>
          <w:lang w:val="uk-UA"/>
        </w:rPr>
        <w:t>0</w:t>
      </w:r>
      <w:r w:rsidR="00372F97">
        <w:rPr>
          <w:i/>
          <w:sz w:val="26"/>
          <w:szCs w:val="26"/>
          <w:lang w:val="uk-UA"/>
        </w:rPr>
        <w:t>2</w:t>
      </w:r>
      <w:r w:rsidR="00CA1CF1" w:rsidRPr="00CA1CF1">
        <w:rPr>
          <w:i/>
          <w:sz w:val="26"/>
          <w:szCs w:val="26"/>
          <w:lang w:val="uk-UA"/>
        </w:rPr>
        <w:t>-</w:t>
      </w:r>
      <w:r w:rsidR="00372F97">
        <w:rPr>
          <w:i/>
          <w:sz w:val="26"/>
          <w:szCs w:val="26"/>
          <w:lang w:val="uk-UA"/>
        </w:rPr>
        <w:t>18</w:t>
      </w:r>
      <w:r w:rsidR="00CA1CF1" w:rsidRPr="00CA1CF1">
        <w:rPr>
          <w:i/>
          <w:sz w:val="26"/>
          <w:szCs w:val="26"/>
          <w:lang w:val="uk-UA"/>
        </w:rPr>
        <w:t>-0</w:t>
      </w:r>
      <w:r w:rsidR="00BD0A55">
        <w:rPr>
          <w:i/>
          <w:sz w:val="26"/>
          <w:szCs w:val="26"/>
          <w:lang w:val="uk-UA"/>
        </w:rPr>
        <w:t>12</w:t>
      </w:r>
      <w:r w:rsidR="00372F97">
        <w:rPr>
          <w:i/>
          <w:sz w:val="26"/>
          <w:szCs w:val="26"/>
          <w:lang w:val="uk-UA"/>
        </w:rPr>
        <w:t>244</w:t>
      </w:r>
      <w:r w:rsidR="00CA1CF1" w:rsidRPr="00CA1CF1">
        <w:rPr>
          <w:i/>
          <w:sz w:val="26"/>
          <w:szCs w:val="26"/>
          <w:lang w:val="uk-UA"/>
        </w:rPr>
        <w:t>-a</w:t>
      </w:r>
      <w:r w:rsidR="00032D0A" w:rsidRPr="00CA1CF1">
        <w:rPr>
          <w:i/>
          <w:sz w:val="26"/>
          <w:szCs w:val="26"/>
          <w:lang w:val="uk-UA"/>
        </w:rPr>
        <w:t>.</w:t>
      </w:r>
    </w:p>
    <w:p w:rsidR="009D5859" w:rsidRPr="00CA1CF1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372F97" w:rsidRPr="00372F97">
        <w:rPr>
          <w:rFonts w:eastAsia="Times New Roman"/>
          <w:i/>
          <w:color w:val="auto"/>
          <w:sz w:val="26"/>
          <w:szCs w:val="26"/>
          <w:lang w:val="uk-UA" w:eastAsia="ru-RU"/>
        </w:rPr>
        <w:t>18830000-6 Захисне взуття (Захисне взуття)</w:t>
      </w:r>
      <w:r w:rsidR="0036790A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CA1CF1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rFonts w:cs="Times New Roman"/>
          <w:b/>
          <w:kern w:val="0"/>
          <w:szCs w:val="26"/>
          <w:lang w:val="uk-UA"/>
        </w:rPr>
        <w:t>4</w:t>
      </w:r>
      <w:r w:rsidR="009D5859" w:rsidRPr="00CA1CF1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BD0A5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: </w:t>
      </w:r>
      <w:r w:rsidR="00372F97">
        <w:rPr>
          <w:i/>
          <w:szCs w:val="26"/>
          <w:lang w:val="uk-UA"/>
        </w:rPr>
        <w:t xml:space="preserve">1266259,24 грн. без ПДВ, крім того ПДВ 253251,85 грн., всього з ПДВ 1519511,09 </w:t>
      </w:r>
      <w:r w:rsidR="00BD0A5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r w:rsidR="00E714C3" w:rsidRPr="00E714C3">
        <w:rPr>
          <w:rFonts w:cs="Times New Roman"/>
          <w:bCs w:val="0"/>
          <w:i/>
          <w:iCs w:val="0"/>
          <w:kern w:val="0"/>
          <w:szCs w:val="26"/>
          <w:lang w:val="uk-UA"/>
        </w:rPr>
        <w:t>грн</w:t>
      </w:r>
      <w:r w:rsidR="00345566" w:rsidRPr="00CA1CF1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CA1CF1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CA1CF1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3" w:name="n118"/>
      <w:bookmarkEnd w:id="3"/>
      <w:r w:rsidRPr="00CA1CF1">
        <w:rPr>
          <w:b/>
          <w:sz w:val="26"/>
          <w:szCs w:val="26"/>
          <w:lang w:val="uk-UA"/>
        </w:rPr>
        <w:t>5</w:t>
      </w:r>
      <w:r w:rsidR="009D5859" w:rsidRPr="00CA1CF1">
        <w:rPr>
          <w:b/>
          <w:sz w:val="26"/>
          <w:szCs w:val="26"/>
          <w:lang w:val="uk-UA"/>
        </w:rPr>
        <w:t>.</w:t>
      </w:r>
      <w:bookmarkStart w:id="4" w:name="n107"/>
      <w:bookmarkEnd w:id="4"/>
      <w:r w:rsidR="009D5859" w:rsidRPr="00CA1CF1">
        <w:rPr>
          <w:bCs/>
          <w:iCs/>
          <w:sz w:val="26"/>
          <w:szCs w:val="26"/>
          <w:lang w:val="uk-UA"/>
        </w:rPr>
        <w:t xml:space="preserve"> </w:t>
      </w:r>
      <w:r w:rsidR="009D5859" w:rsidRPr="00CA1CF1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CA1CF1">
        <w:rPr>
          <w:b/>
          <w:bCs/>
          <w:iCs/>
          <w:sz w:val="26"/>
          <w:szCs w:val="26"/>
          <w:lang w:val="uk-UA"/>
        </w:rPr>
        <w:t>:</w:t>
      </w:r>
      <w:r w:rsidR="00B628B0" w:rsidRPr="00CA1CF1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CA1CF1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CA1CF1">
        <w:rPr>
          <w:i/>
          <w:sz w:val="26"/>
          <w:szCs w:val="26"/>
          <w:lang w:val="uk-UA"/>
        </w:rPr>
        <w:t xml:space="preserve"> </w:t>
      </w:r>
    </w:p>
    <w:p w:rsidR="00372F97" w:rsidRDefault="00372F97" w:rsidP="00372F97">
      <w:pPr>
        <w:pStyle w:val="ab"/>
        <w:ind w:firstLine="284"/>
        <w:jc w:val="both"/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</w:pPr>
      <w:r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  <w:t>Придбання спецвзуття планується на виконання ст. 8 Закону України «Про охорону праці», з метою захисту персоналу ВП АРС від шкідливих факторів на роботах із шкідливими і небезпечними умовами праці.</w:t>
      </w:r>
    </w:p>
    <w:p w:rsidR="00372F97" w:rsidRDefault="00372F97" w:rsidP="00372F97">
      <w:pPr>
        <w:pStyle w:val="ab"/>
        <w:ind w:firstLine="284"/>
        <w:jc w:val="both"/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</w:pPr>
      <w:r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  <w:t>Комплектність та кількість спецвзуття  визначена відповідно до «Норм безоплатної видачі спеціального одягу, спеціального взуття та інших засобів індивідуального захисту працівникам підприємств електроенергетичної галузі» НПАОП 0.00-3.23-18.</w:t>
      </w:r>
    </w:p>
    <w:p w:rsidR="00372F97" w:rsidRDefault="00372F97" w:rsidP="00372F97">
      <w:pPr>
        <w:pStyle w:val="ab"/>
        <w:ind w:firstLine="284"/>
        <w:jc w:val="both"/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</w:pPr>
      <w:r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  <w:tab/>
        <w:t>Спецвзуття призначене для захисту ніг працівників від небезпечних впливів виробничого середовища і трудового процесу. Головне призначення спецвзуття - це захист ніг від несприятливих впливів і можливих виробничих травм ніг.</w:t>
      </w:r>
    </w:p>
    <w:p w:rsidR="00372F97" w:rsidRDefault="00372F97" w:rsidP="00372F97">
      <w:pPr>
        <w:pStyle w:val="ab"/>
        <w:ind w:firstLine="284"/>
        <w:jc w:val="both"/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</w:pPr>
      <w:r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  <w:tab/>
        <w:t xml:space="preserve">Технічна специфікація </w:t>
      </w:r>
      <w:proofErr w:type="spellStart"/>
      <w:r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  <w:t>ТСдоПЗ</w:t>
      </w:r>
      <w:proofErr w:type="spellEnd"/>
      <w:r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  <w:t>(т) 12.001-2023 розроблена відповідно до нормативних вимог наступних документів:</w:t>
      </w:r>
    </w:p>
    <w:p w:rsidR="00372F97" w:rsidRDefault="00372F97" w:rsidP="00372F97">
      <w:pPr>
        <w:pStyle w:val="ab"/>
        <w:ind w:firstLine="284"/>
        <w:jc w:val="both"/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</w:pPr>
      <w:r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  <w:t>№ 2694-XII від 14.10.1992</w:t>
      </w:r>
      <w:r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  <w:tab/>
        <w:t>Закон України «Про охорону праці»</w:t>
      </w:r>
    </w:p>
    <w:p w:rsidR="00372F97" w:rsidRDefault="00372F97" w:rsidP="00372F97">
      <w:pPr>
        <w:pStyle w:val="ab"/>
        <w:ind w:firstLine="284"/>
        <w:jc w:val="both"/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</w:pPr>
      <w:r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  <w:t>№ 1315-VII від 05.06.2014</w:t>
      </w:r>
      <w:r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  <w:tab/>
        <w:t>Закон України «Про стандартизацію»</w:t>
      </w:r>
    </w:p>
    <w:p w:rsidR="00372F97" w:rsidRDefault="00372F97" w:rsidP="00372F97">
      <w:pPr>
        <w:pStyle w:val="ab"/>
        <w:ind w:firstLine="284"/>
        <w:jc w:val="both"/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</w:pPr>
      <w:r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  <w:t>Постанова КМУ від 27.08.2008 № 761</w:t>
      </w:r>
      <w:r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  <w:tab/>
        <w:t xml:space="preserve">Технічний регламент засобів індивідуального захисту </w:t>
      </w:r>
    </w:p>
    <w:p w:rsidR="00372F97" w:rsidRDefault="00372F97" w:rsidP="00372F97">
      <w:pPr>
        <w:pStyle w:val="ab"/>
        <w:ind w:firstLine="284"/>
        <w:jc w:val="both"/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</w:pPr>
      <w:r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  <w:t>ДСТУ ISO/IEC 17050-1:2006</w:t>
      </w:r>
    </w:p>
    <w:p w:rsidR="00372F97" w:rsidRDefault="00372F97" w:rsidP="00372F97">
      <w:pPr>
        <w:pStyle w:val="ab"/>
        <w:ind w:firstLine="284"/>
        <w:jc w:val="both"/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</w:pPr>
      <w:r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  <w:t>(ISO/IEC 17050-1:2004, IDT)</w:t>
      </w:r>
      <w:r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  <w:tab/>
        <w:t xml:space="preserve">Оцінка відповідності. Декларація постачальника про відповідність. Частина 1. Загальні вимоги </w:t>
      </w:r>
    </w:p>
    <w:p w:rsidR="00372F97" w:rsidRDefault="00372F97" w:rsidP="00372F97">
      <w:pPr>
        <w:pStyle w:val="ab"/>
        <w:ind w:firstLine="284"/>
        <w:jc w:val="both"/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</w:pPr>
      <w:r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  <w:t>ДСТУ EN ISO 20345:2016</w:t>
      </w:r>
      <w:r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  <w:tab/>
        <w:t xml:space="preserve">Засоби індивідуального захисту. Взуття професійної </w:t>
      </w:r>
      <w:proofErr w:type="spellStart"/>
      <w:r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  <w:t>призначеності</w:t>
      </w:r>
      <w:proofErr w:type="spellEnd"/>
      <w:r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  <w:t>. Технічні умови</w:t>
      </w:r>
    </w:p>
    <w:p w:rsidR="00372F97" w:rsidRDefault="00372F97" w:rsidP="00372F97">
      <w:pPr>
        <w:pStyle w:val="ab"/>
        <w:ind w:firstLine="284"/>
        <w:jc w:val="both"/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</w:pPr>
      <w:r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  <w:t>ДСТУ EN ISO 20347:2015</w:t>
      </w:r>
      <w:r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  <w:tab/>
        <w:t xml:space="preserve">Засоби індивідуального захисту. Взуття робоче професійної </w:t>
      </w:r>
      <w:proofErr w:type="spellStart"/>
      <w:r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  <w:t>призначеності</w:t>
      </w:r>
      <w:proofErr w:type="spellEnd"/>
      <w:r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  <w:t>. Технічні умови</w:t>
      </w:r>
    </w:p>
    <w:p w:rsidR="00372F97" w:rsidRDefault="00372F97" w:rsidP="00372F97">
      <w:pPr>
        <w:pStyle w:val="ab"/>
        <w:ind w:firstLine="284"/>
        <w:jc w:val="both"/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</w:pPr>
      <w:r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  <w:lastRenderedPageBreak/>
        <w:t xml:space="preserve">ДСТУ 3962-2000 Взуття спеціальне з верхом із шкіри для захисту від нафти, нафтопродуктів, кислот, лугів, нетоксичного та вибухонебезпечного пилу. Технічні умови </w:t>
      </w:r>
    </w:p>
    <w:p w:rsidR="00372F97" w:rsidRDefault="00372F97" w:rsidP="00372F97">
      <w:pPr>
        <w:pStyle w:val="ab"/>
        <w:ind w:firstLine="284"/>
        <w:jc w:val="both"/>
        <w:rPr>
          <w:b/>
          <w:bCs w:val="0"/>
          <w:i/>
          <w:iCs w:val="0"/>
          <w:sz w:val="25"/>
          <w:szCs w:val="25"/>
          <w:lang w:val="uk-UA"/>
        </w:rPr>
      </w:pPr>
      <w:r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  <w:t>ДСТУ 2772-94</w:t>
      </w:r>
      <w:r>
        <w:rPr>
          <w:rFonts w:eastAsia="Calibri" w:cs="Times New Roman"/>
          <w:bCs w:val="0"/>
          <w:i/>
          <w:iCs w:val="0"/>
          <w:kern w:val="0"/>
          <w:szCs w:val="26"/>
          <w:lang w:val="uk-UA" w:eastAsia="en-US"/>
        </w:rPr>
        <w:tab/>
        <w:t>Взуття спеціальне із шкіряним верхом для захисту від дії підвищених температур. Технічні умови</w:t>
      </w:r>
    </w:p>
    <w:p w:rsidR="00E714C3" w:rsidRPr="003C3C86" w:rsidRDefault="00E714C3" w:rsidP="003C3C86">
      <w:pPr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</w:p>
    <w:p w:rsidR="00261CBE" w:rsidRDefault="00261CBE" w:rsidP="00FF7D01">
      <w:pPr>
        <w:pStyle w:val="a3"/>
        <w:rPr>
          <w:i/>
          <w:szCs w:val="26"/>
          <w:lang w:val="uk-UA"/>
        </w:rPr>
      </w:pPr>
    </w:p>
    <w:p w:rsidR="00BE1E12" w:rsidRDefault="00BE1E12" w:rsidP="007604EF">
      <w:pPr>
        <w:pStyle w:val="rvps2"/>
        <w:tabs>
          <w:tab w:val="left" w:pos="284"/>
        </w:tabs>
        <w:spacing w:before="0" w:beforeAutospacing="0" w:after="0" w:afterAutospacing="0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  <w:bookmarkStart w:id="5" w:name="_GoBack"/>
      <w:bookmarkEnd w:id="5"/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BE1E12" w:rsidRDefault="00BE1E12" w:rsidP="00BE1E12">
      <w:pPr>
        <w:pStyle w:val="rvps2"/>
        <w:jc w:val="both"/>
        <w:rPr>
          <w:rFonts w:cs="Arial"/>
          <w:bCs/>
          <w:i/>
          <w:iCs/>
          <w:color w:val="000000"/>
          <w:kern w:val="32"/>
          <w:sz w:val="26"/>
          <w:szCs w:val="26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p w:rsidR="00566181" w:rsidRDefault="00566181" w:rsidP="0064305E">
      <w:pPr>
        <w:jc w:val="both"/>
        <w:rPr>
          <w:sz w:val="24"/>
          <w:szCs w:val="24"/>
          <w:lang w:val="uk-UA"/>
        </w:rPr>
      </w:pPr>
    </w:p>
    <w:sectPr w:rsidR="00566181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B1FB2"/>
    <w:rsid w:val="00BB42A8"/>
    <w:rsid w:val="00BC51B4"/>
    <w:rsid w:val="00BC72CF"/>
    <w:rsid w:val="00BC7973"/>
    <w:rsid w:val="00BD0A55"/>
    <w:rsid w:val="00BE1E12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5B2D7-DC6F-4EE0-BEF3-B5F7B0D8A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330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42</cp:revision>
  <cp:lastPrinted>2024-03-13T12:39:00Z</cp:lastPrinted>
  <dcterms:created xsi:type="dcterms:W3CDTF">2024-03-13T12:39:00Z</dcterms:created>
  <dcterms:modified xsi:type="dcterms:W3CDTF">2025-02-18T14:32:00Z</dcterms:modified>
</cp:coreProperties>
</file>