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0E7E79">
        <w:rPr>
          <w:i/>
          <w:sz w:val="26"/>
          <w:szCs w:val="26"/>
          <w:lang w:val="uk-UA"/>
        </w:rPr>
        <w:t>2</w:t>
      </w:r>
      <w:r w:rsidR="00CA1CF1" w:rsidRPr="00CA1CF1">
        <w:rPr>
          <w:i/>
          <w:sz w:val="26"/>
          <w:szCs w:val="26"/>
          <w:lang w:val="uk-UA"/>
        </w:rPr>
        <w:t>-</w:t>
      </w:r>
      <w:r w:rsidR="00C4101F">
        <w:rPr>
          <w:i/>
          <w:sz w:val="26"/>
          <w:szCs w:val="26"/>
          <w:lang w:val="uk-UA"/>
        </w:rPr>
        <w:t>13</w:t>
      </w:r>
      <w:r w:rsidR="00CA1CF1" w:rsidRPr="00CA1CF1">
        <w:rPr>
          <w:i/>
          <w:sz w:val="26"/>
          <w:szCs w:val="26"/>
          <w:lang w:val="uk-UA"/>
        </w:rPr>
        <w:t>-0</w:t>
      </w:r>
      <w:r w:rsidR="000E7E79">
        <w:rPr>
          <w:i/>
          <w:sz w:val="26"/>
          <w:szCs w:val="26"/>
          <w:lang w:val="uk-UA"/>
        </w:rPr>
        <w:t>1</w:t>
      </w:r>
      <w:r w:rsidR="00C4101F">
        <w:rPr>
          <w:i/>
          <w:sz w:val="26"/>
          <w:szCs w:val="26"/>
          <w:lang w:val="uk-UA"/>
        </w:rPr>
        <w:t>357</w:t>
      </w:r>
      <w:r w:rsidR="00CE0AFE">
        <w:rPr>
          <w:i/>
          <w:sz w:val="26"/>
          <w:szCs w:val="26"/>
          <w:lang w:val="uk-UA"/>
        </w:rPr>
        <w:t>7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4101F" w:rsidRPr="00C4101F">
        <w:rPr>
          <w:rFonts w:eastAsia="Times New Roman"/>
          <w:i/>
          <w:color w:val="auto"/>
          <w:sz w:val="26"/>
          <w:szCs w:val="26"/>
          <w:lang w:val="uk-UA" w:eastAsia="ru-RU"/>
        </w:rPr>
        <w:t>80570000-0 Послуги з професійної підготовки у сфері підвищення кваліфікації (Підвищення кваліфікації за темою: «</w:t>
      </w:r>
      <w:proofErr w:type="spellStart"/>
      <w:r w:rsidR="00C4101F" w:rsidRPr="00C4101F">
        <w:rPr>
          <w:rFonts w:eastAsia="Times New Roman"/>
          <w:i/>
          <w:color w:val="auto"/>
          <w:sz w:val="26"/>
          <w:szCs w:val="26"/>
          <w:lang w:val="uk-UA" w:eastAsia="ru-RU"/>
        </w:rPr>
        <w:t>Сігнатурний</w:t>
      </w:r>
      <w:proofErr w:type="spellEnd"/>
      <w:r w:rsidR="00C4101F" w:rsidRPr="00C4101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аналіз електричних сигналів електричних двигунів змінного струму»)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C4101F" w:rsidRDefault="00F30944" w:rsidP="00C4101F">
      <w:pPr>
        <w:tabs>
          <w:tab w:val="left" w:pos="284"/>
          <w:tab w:val="left" w:pos="900"/>
        </w:tabs>
        <w:spacing w:before="120" w:line="228" w:lineRule="auto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43625,00  грн. без ПДВ,  </w:t>
      </w:r>
      <w:proofErr w:type="gramStart"/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>к</w:t>
      </w:r>
      <w:proofErr w:type="spellStart"/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>р</w:t>
      </w:r>
      <w:proofErr w:type="gramEnd"/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>ім</w:t>
      </w:r>
      <w:proofErr w:type="spellEnd"/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того  ПДВ 8725,00 грн.  </w:t>
      </w:r>
      <w:proofErr w:type="spellStart"/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>Всього</w:t>
      </w:r>
      <w:proofErr w:type="spellEnd"/>
      <w:r w:rsidR="00C4101F" w:rsidRPr="00C4101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з ПДВ 52350,00 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  <w:bookmarkStart w:id="3" w:name="_GoBack"/>
      <w:bookmarkEnd w:id="3"/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E714C3" w:rsidRPr="00C4101F" w:rsidRDefault="00C4101F" w:rsidP="00C4101F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r w:rsidRPr="00C4101F">
        <w:rPr>
          <w:i/>
          <w:color w:val="000000"/>
          <w:szCs w:val="26"/>
          <w:lang w:val="uk-UA"/>
        </w:rPr>
        <w:t xml:space="preserve">Професіонали, що виконують роботи з технічного діагностування, потребують поглиблене вивчення методів пов’язаних з сигнатурним аналізом (спектральний аналіз лінійного струму з метою виявлення характерних частотних складових, які свідчать про можливі несправності двигуна), яке є частиною методів технічного діагностування ЕПА відповідно до р.8 СОУ НАЕК 210:2020 «Технічне обслуговування та ремонт. Методика технічного діагностування </w:t>
      </w:r>
      <w:proofErr w:type="spellStart"/>
      <w:r w:rsidRPr="00C4101F">
        <w:rPr>
          <w:i/>
          <w:color w:val="000000"/>
          <w:szCs w:val="26"/>
          <w:lang w:val="uk-UA"/>
        </w:rPr>
        <w:t>електроприводної</w:t>
      </w:r>
      <w:proofErr w:type="spellEnd"/>
      <w:r w:rsidRPr="00C4101F">
        <w:rPr>
          <w:i/>
          <w:color w:val="000000"/>
          <w:szCs w:val="26"/>
          <w:lang w:val="uk-UA"/>
        </w:rPr>
        <w:t xml:space="preserve"> арматури атомних електростанцій» та повинні проходити навчання та підвищення кваліфікації в частині технічного діагностування ЕПА на підставі вимог р.6 СОУ НАЕК 271:2023 «Технічне обслуговування та ремонт. Порядок організації робіт з технічного діагностування </w:t>
      </w:r>
      <w:proofErr w:type="spellStart"/>
      <w:r w:rsidRPr="00C4101F">
        <w:rPr>
          <w:i/>
          <w:color w:val="000000"/>
          <w:szCs w:val="26"/>
          <w:lang w:val="uk-UA"/>
        </w:rPr>
        <w:t>електроприводної</w:t>
      </w:r>
      <w:proofErr w:type="spellEnd"/>
      <w:r w:rsidRPr="00C4101F">
        <w:rPr>
          <w:i/>
          <w:color w:val="000000"/>
          <w:szCs w:val="26"/>
          <w:lang w:val="uk-UA"/>
        </w:rPr>
        <w:t xml:space="preserve"> арматури атомних електростанцій» та п.4.18 ПЛ-К.0.07.005-23 «Положення про організацію роботи з персоналом державного підприємства «Національна атомна енергогенеруюча компанія «Енергоатом».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5FED-9D0A-4595-8CBB-6D9D3119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41</cp:revision>
  <cp:lastPrinted>2024-03-13T12:39:00Z</cp:lastPrinted>
  <dcterms:created xsi:type="dcterms:W3CDTF">2024-03-13T12:39:00Z</dcterms:created>
  <dcterms:modified xsi:type="dcterms:W3CDTF">2025-02-14T06:54:00Z</dcterms:modified>
</cp:coreProperties>
</file>