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0E9B56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60D06" w:rsidRPr="00160D06">
        <w:rPr>
          <w:b/>
        </w:rPr>
        <w:t>09130000-9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160D06" w:rsidRPr="00160D06">
        <w:rPr>
          <w:b/>
        </w:rPr>
        <w:t>Нафта і дистиляти</w:t>
      </w:r>
    </w:p>
    <w:p w14:paraId="505E3E76" w14:textId="3658C3D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7E006D" w:rsidRPr="007E006D">
        <w:rPr>
          <w:b/>
        </w:rPr>
        <w:t>Дизельне паливо в талонах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E5288B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60D06" w:rsidRPr="00160D06">
        <w:rPr>
          <w:iCs/>
          <w:color w:val="000000" w:themeColor="text1"/>
        </w:rPr>
        <w:t>09130000-9</w:t>
      </w:r>
      <w:r w:rsidR="001A31F7" w:rsidRPr="001A31F7">
        <w:rPr>
          <w:iCs/>
          <w:color w:val="000000" w:themeColor="text1"/>
        </w:rPr>
        <w:t xml:space="preserve"> </w:t>
      </w:r>
      <w:r w:rsidR="00160D06" w:rsidRPr="00160D06">
        <w:rPr>
          <w:iCs/>
          <w:color w:val="000000" w:themeColor="text1"/>
        </w:rPr>
        <w:t>Нафта і дистиляти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E006D" w:rsidRPr="007E006D">
        <w:rPr>
          <w:iCs/>
          <w:color w:val="000000" w:themeColor="text1"/>
        </w:rPr>
        <w:t>Дизельне паливо в талонах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121EAD2" w14:textId="38181B24" w:rsidR="007E006D" w:rsidRPr="007E006D" w:rsidRDefault="007E006D" w:rsidP="004E61A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E006D">
          <w:rPr>
            <w:rStyle w:val="a8"/>
            <w:sz w:val="26"/>
            <w:szCs w:val="26"/>
          </w:rPr>
          <w:t>https://prozorro.gov.ua/tender/UA-2025-05-21-011849-a</w:t>
        </w:r>
      </w:hyperlink>
    </w:p>
    <w:p w14:paraId="6A3B5E14" w14:textId="20DF49E0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60D06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211E8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006D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B922161F-D8E2-45A4-B14D-7028D454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1-0118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2025-05-21T13:02:00Z</dcterms:modified>
</cp:coreProperties>
</file>