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12B699FC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A6ADC" w:rsidRPr="004A6ADC">
        <w:rPr>
          <w:b/>
        </w:rPr>
        <w:t>50530000-9</w:t>
      </w:r>
      <w:r w:rsidR="00F27B5D" w:rsidRPr="00F27B5D">
        <w:rPr>
          <w:b/>
        </w:rPr>
        <w:t xml:space="preserve"> </w:t>
      </w:r>
      <w:r w:rsidR="004A6ADC" w:rsidRPr="004A6ADC">
        <w:rPr>
          <w:b/>
        </w:rPr>
        <w:t>Послуги з ремонту і технічного обслуговування техніки</w:t>
      </w:r>
      <w:r w:rsidR="00F27B5D" w:rsidRPr="00F27B5D">
        <w:rPr>
          <w:b/>
        </w:rPr>
        <w:t xml:space="preserve"> </w:t>
      </w:r>
    </w:p>
    <w:p w14:paraId="6BF4082C" w14:textId="75D4CAD0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2E5BAA" w:rsidRPr="002E5BAA">
        <w:rPr>
          <w:b/>
        </w:rPr>
        <w:t>Послуги з ремонту і технічного обслуговування котлів та газових приладів</w:t>
      </w:r>
      <w:r w:rsidR="007433F6" w:rsidRPr="00FB172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2FE69D0E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50530000-9</w:t>
      </w:r>
      <w:r w:rsidR="00F27B5D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Послуги з ремонту і технічного обслуговування техніки</w:t>
      </w:r>
      <w:r w:rsidR="00F27B5D" w:rsidRPr="00FB172C">
        <w:rPr>
          <w:iCs/>
          <w:color w:val="000000" w:themeColor="text1"/>
        </w:rPr>
        <w:t xml:space="preserve"> (</w:t>
      </w:r>
      <w:r w:rsidR="002E5BAA" w:rsidRPr="002E5BAA">
        <w:rPr>
          <w:iCs/>
          <w:color w:val="000000" w:themeColor="text1"/>
        </w:rPr>
        <w:t>Послуги з ремонту і технічного обслуговування котлів та газових приладів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643DCA5" w14:textId="7258372D" w:rsidR="007D63C5" w:rsidRDefault="007D63C5" w:rsidP="004A6ADC">
      <w:pPr>
        <w:pStyle w:val="Default"/>
        <w:ind w:firstLine="567"/>
        <w:jc w:val="both"/>
      </w:pPr>
      <w:hyperlink r:id="rId5" w:history="1">
        <w:r w:rsidRPr="00742B80">
          <w:rPr>
            <w:rStyle w:val="a8"/>
          </w:rPr>
          <w:t>https://prozorro.gov.ua/tender/UA-2025-01-10-007620-a</w:t>
        </w:r>
      </w:hyperlink>
    </w:p>
    <w:p w14:paraId="5C06105A" w14:textId="25818E7B" w:rsidR="00E72501" w:rsidRPr="00BD6D43" w:rsidRDefault="0015635E" w:rsidP="004A6ADC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1-10-00762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132</cp:revision>
  <cp:lastPrinted>2021-04-29T06:12:00Z</cp:lastPrinted>
  <dcterms:created xsi:type="dcterms:W3CDTF">2021-03-11T14:19:00Z</dcterms:created>
  <dcterms:modified xsi:type="dcterms:W3CDTF">2025-01-10T13:07:00Z</dcterms:modified>
</cp:coreProperties>
</file>