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BB" w:rsidRPr="00C73F98" w:rsidRDefault="00E905BB" w:rsidP="00DA16E2">
      <w:pPr>
        <w:pStyle w:val="ListParagraph"/>
        <w:jc w:val="right"/>
        <w:rPr>
          <w:i/>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3182"/>
        <w:gridCol w:w="6028"/>
      </w:tblGrid>
      <w:tr w:rsidR="00E905BB" w:rsidRPr="00BC36CB" w:rsidTr="00AD1DA4">
        <w:tc>
          <w:tcPr>
            <w:tcW w:w="9747" w:type="dxa"/>
            <w:gridSpan w:val="3"/>
            <w:tcBorders>
              <w:top w:val="single" w:sz="4" w:space="0" w:color="auto"/>
              <w:left w:val="single" w:sz="4" w:space="0" w:color="auto"/>
              <w:bottom w:val="single" w:sz="4" w:space="0" w:color="auto"/>
              <w:right w:val="single" w:sz="4" w:space="0" w:color="auto"/>
            </w:tcBorders>
          </w:tcPr>
          <w:p w:rsidR="00E905BB" w:rsidRPr="00BC36CB" w:rsidRDefault="00E905BB" w:rsidP="00BC36CB">
            <w:pPr>
              <w:spacing w:after="120"/>
              <w:jc w:val="center"/>
              <w:rPr>
                <w:rFonts w:eastAsia="Times New Roman"/>
                <w:b/>
                <w:lang w:val="uk-UA" w:eastAsia="en-US"/>
              </w:rPr>
            </w:pPr>
            <w:r w:rsidRPr="00BC36CB">
              <w:rPr>
                <w:rFonts w:eastAsia="Times New Roman"/>
                <w:b/>
                <w:lang w:val="uk-UA" w:eastAsia="en-US"/>
              </w:rPr>
              <w:t xml:space="preserve">Обґрунтування технічних та якісних характеристик предмета закупівлі, очікуваної вартості предмета закупівлі </w:t>
            </w:r>
          </w:p>
          <w:p w:rsidR="00E905BB" w:rsidRPr="00BC36CB" w:rsidRDefault="00112C36" w:rsidP="00BC36CB">
            <w:pPr>
              <w:spacing w:after="120"/>
              <w:jc w:val="center"/>
              <w:rPr>
                <w:rFonts w:eastAsia="Times New Roman"/>
                <w:lang w:val="uk-UA" w:eastAsia="en-US"/>
              </w:rPr>
            </w:pPr>
            <w:r>
              <w:t>UA-2022-11-29-013851-a</w:t>
            </w:r>
            <w:bookmarkStart w:id="0" w:name="_GoBack"/>
            <w:bookmarkEnd w:id="0"/>
          </w:p>
        </w:tc>
      </w:tr>
      <w:tr w:rsidR="00E905BB" w:rsidRPr="00C53D49" w:rsidTr="00AD1DA4">
        <w:tc>
          <w:tcPr>
            <w:tcW w:w="421" w:type="dxa"/>
            <w:tcBorders>
              <w:top w:val="single" w:sz="4" w:space="0" w:color="auto"/>
              <w:left w:val="single" w:sz="4" w:space="0" w:color="auto"/>
              <w:bottom w:val="single" w:sz="4" w:space="0" w:color="auto"/>
              <w:right w:val="single" w:sz="4" w:space="0" w:color="auto"/>
            </w:tcBorders>
          </w:tcPr>
          <w:p w:rsidR="00E905BB" w:rsidRPr="00BC36CB" w:rsidRDefault="00E905BB" w:rsidP="00BC36CB">
            <w:pPr>
              <w:rPr>
                <w:lang w:val="uk-UA"/>
              </w:rPr>
            </w:pPr>
            <w:r w:rsidRPr="00BC36CB">
              <w:rPr>
                <w:lang w:val="uk-UA"/>
              </w:rPr>
              <w:t>1</w:t>
            </w:r>
          </w:p>
        </w:tc>
        <w:tc>
          <w:tcPr>
            <w:tcW w:w="3210" w:type="dxa"/>
            <w:tcBorders>
              <w:top w:val="single" w:sz="4" w:space="0" w:color="auto"/>
              <w:left w:val="single" w:sz="4" w:space="0" w:color="auto"/>
              <w:bottom w:val="single" w:sz="4" w:space="0" w:color="auto"/>
              <w:right w:val="single" w:sz="4" w:space="0" w:color="auto"/>
            </w:tcBorders>
          </w:tcPr>
          <w:p w:rsidR="00E905BB" w:rsidRPr="00BC36CB" w:rsidRDefault="00E905BB" w:rsidP="00BC36CB">
            <w:pPr>
              <w:rPr>
                <w:b/>
                <w:lang w:val="uk-UA"/>
              </w:rPr>
            </w:pPr>
            <w:r w:rsidRPr="00BC36CB">
              <w:rPr>
                <w:b/>
                <w:lang w:val="uk-UA"/>
              </w:rPr>
              <w:t>Назва предмета закупівлі</w:t>
            </w:r>
          </w:p>
        </w:tc>
        <w:tc>
          <w:tcPr>
            <w:tcW w:w="6116" w:type="dxa"/>
            <w:tcBorders>
              <w:top w:val="single" w:sz="4" w:space="0" w:color="auto"/>
              <w:left w:val="single" w:sz="4" w:space="0" w:color="auto"/>
              <w:bottom w:val="single" w:sz="4" w:space="0" w:color="auto"/>
              <w:right w:val="single" w:sz="4" w:space="0" w:color="auto"/>
            </w:tcBorders>
          </w:tcPr>
          <w:p w:rsidR="00E637EB" w:rsidRPr="00E637EB" w:rsidRDefault="00E637EB" w:rsidP="00E637EB">
            <w:pPr>
              <w:jc w:val="both"/>
              <w:rPr>
                <w:color w:val="000000"/>
                <w:lang w:val="uk-UA"/>
              </w:rPr>
            </w:pPr>
            <w:proofErr w:type="spellStart"/>
            <w:r w:rsidRPr="00E637EB">
              <w:rPr>
                <w:color w:val="000000"/>
                <w:lang w:val="uk-UA"/>
              </w:rPr>
              <w:t>Проєктні</w:t>
            </w:r>
            <w:proofErr w:type="spellEnd"/>
            <w:r w:rsidRPr="00E637EB">
              <w:rPr>
                <w:color w:val="000000"/>
                <w:lang w:val="uk-UA"/>
              </w:rPr>
              <w:t xml:space="preserve"> роботи по об’єкту: </w:t>
            </w:r>
          </w:p>
          <w:p w:rsidR="00E637EB" w:rsidRDefault="00E637EB" w:rsidP="00E637EB">
            <w:pPr>
              <w:shd w:val="clear" w:color="auto" w:fill="FFFFFF"/>
              <w:spacing w:after="150"/>
              <w:jc w:val="both"/>
              <w:textAlignment w:val="baseline"/>
              <w:outlineLvl w:val="0"/>
              <w:rPr>
                <w:bCs/>
                <w:color w:val="000000"/>
                <w:kern w:val="36"/>
                <w:sz w:val="22"/>
                <w:szCs w:val="22"/>
                <w:lang w:val="uk-UA" w:eastAsia="uk-UA"/>
              </w:rPr>
            </w:pPr>
            <w:r w:rsidRPr="00E637EB">
              <w:rPr>
                <w:color w:val="000000"/>
                <w:lang w:val="uk-UA"/>
              </w:rPr>
              <w:t>«Реконструкція. Модернізація локальної системи оповіщення про надзвичайні ситуації на Рівненській АЕС»</w:t>
            </w:r>
            <w:r w:rsidRPr="00E637EB">
              <w:rPr>
                <w:bCs/>
                <w:color w:val="000000"/>
                <w:kern w:val="36"/>
                <w:sz w:val="22"/>
                <w:szCs w:val="22"/>
                <w:lang w:val="uk-UA" w:eastAsia="uk-UA"/>
              </w:rPr>
              <w:t xml:space="preserve"> </w:t>
            </w:r>
          </w:p>
          <w:p w:rsidR="00E905BB" w:rsidRPr="00AD1DA4" w:rsidRDefault="00E905BB" w:rsidP="00E637EB">
            <w:pPr>
              <w:shd w:val="clear" w:color="auto" w:fill="FFFFFF"/>
              <w:spacing w:after="150"/>
              <w:jc w:val="both"/>
              <w:textAlignment w:val="baseline"/>
              <w:outlineLvl w:val="0"/>
              <w:rPr>
                <w:color w:val="FF0000"/>
                <w:sz w:val="22"/>
                <w:szCs w:val="22"/>
                <w:lang w:val="uk-UA"/>
              </w:rPr>
            </w:pPr>
            <w:r w:rsidRPr="001D22EF">
              <w:rPr>
                <w:bCs/>
                <w:color w:val="000000"/>
                <w:kern w:val="36"/>
                <w:sz w:val="22"/>
                <w:szCs w:val="22"/>
                <w:lang w:val="uk-UA" w:eastAsia="uk-UA"/>
              </w:rPr>
              <w:t xml:space="preserve">(код </w:t>
            </w:r>
            <w:r w:rsidR="001D22EF" w:rsidRPr="001D22EF">
              <w:rPr>
                <w:color w:val="000000"/>
                <w:lang w:val="uk-UA"/>
              </w:rPr>
              <w:t>ДК 021:2015 (CPV): 45000000-7).</w:t>
            </w:r>
          </w:p>
        </w:tc>
      </w:tr>
      <w:tr w:rsidR="00E905BB" w:rsidRPr="00C7028F" w:rsidTr="00AD1DA4">
        <w:tc>
          <w:tcPr>
            <w:tcW w:w="421" w:type="dxa"/>
            <w:tcBorders>
              <w:top w:val="single" w:sz="4" w:space="0" w:color="auto"/>
              <w:left w:val="single" w:sz="4" w:space="0" w:color="auto"/>
              <w:bottom w:val="single" w:sz="4" w:space="0" w:color="auto"/>
              <w:right w:val="single" w:sz="4" w:space="0" w:color="auto"/>
            </w:tcBorders>
          </w:tcPr>
          <w:p w:rsidR="00E905BB" w:rsidRPr="00BC36CB" w:rsidRDefault="00E905BB" w:rsidP="00BC36CB">
            <w:pPr>
              <w:rPr>
                <w:lang w:val="uk-UA"/>
              </w:rPr>
            </w:pPr>
            <w:r w:rsidRPr="00BC36CB">
              <w:rPr>
                <w:lang w:val="uk-UA"/>
              </w:rPr>
              <w:t>2</w:t>
            </w:r>
          </w:p>
        </w:tc>
        <w:tc>
          <w:tcPr>
            <w:tcW w:w="3210" w:type="dxa"/>
            <w:tcBorders>
              <w:top w:val="single" w:sz="4" w:space="0" w:color="auto"/>
              <w:left w:val="single" w:sz="4" w:space="0" w:color="auto"/>
              <w:bottom w:val="single" w:sz="4" w:space="0" w:color="auto"/>
              <w:right w:val="single" w:sz="4" w:space="0" w:color="auto"/>
            </w:tcBorders>
          </w:tcPr>
          <w:p w:rsidR="00E905BB" w:rsidRPr="00BC36CB" w:rsidRDefault="00E905BB" w:rsidP="00BC36CB">
            <w:pPr>
              <w:rPr>
                <w:b/>
                <w:lang w:val="uk-UA"/>
              </w:rPr>
            </w:pPr>
            <w:r w:rsidRPr="00BC36CB">
              <w:rPr>
                <w:b/>
                <w:lang w:val="uk-UA"/>
              </w:rPr>
              <w:t>Обґрунтування технічних та якісних характеристик предмета закупівлі</w:t>
            </w:r>
          </w:p>
        </w:tc>
        <w:tc>
          <w:tcPr>
            <w:tcW w:w="6116" w:type="dxa"/>
            <w:tcBorders>
              <w:top w:val="single" w:sz="4" w:space="0" w:color="auto"/>
              <w:left w:val="single" w:sz="4" w:space="0" w:color="auto"/>
              <w:bottom w:val="single" w:sz="4" w:space="0" w:color="auto"/>
              <w:right w:val="single" w:sz="4" w:space="0" w:color="auto"/>
            </w:tcBorders>
          </w:tcPr>
          <w:p w:rsidR="009C4D63" w:rsidRPr="00650EFB" w:rsidRDefault="009C4D63" w:rsidP="00E637EB">
            <w:pPr>
              <w:jc w:val="both"/>
              <w:rPr>
                <w:lang w:val="uk-UA"/>
              </w:rPr>
            </w:pPr>
            <w:r w:rsidRPr="00AD1DA4">
              <w:rPr>
                <w:lang w:val="uk-UA"/>
              </w:rPr>
              <w:t xml:space="preserve">Технічні та якісні характеристики предмета закупівлі  визначені у відповідному додатку 2 до </w:t>
            </w:r>
            <w:r w:rsidR="00650EFB">
              <w:rPr>
                <w:lang w:val="uk-UA"/>
              </w:rPr>
              <w:t>ТД</w:t>
            </w:r>
            <w:r w:rsidRPr="00AD1DA4">
              <w:rPr>
                <w:lang w:val="uk-UA"/>
              </w:rPr>
              <w:t xml:space="preserve"> – завданні на </w:t>
            </w:r>
            <w:proofErr w:type="spellStart"/>
            <w:r w:rsidRPr="00AD1DA4">
              <w:rPr>
                <w:lang w:val="uk-UA"/>
              </w:rPr>
              <w:t>проєктування</w:t>
            </w:r>
            <w:proofErr w:type="spellEnd"/>
            <w:r w:rsidRPr="00AD1DA4">
              <w:rPr>
                <w:lang w:val="uk-UA"/>
              </w:rPr>
              <w:t xml:space="preserve"> </w:t>
            </w:r>
            <w:r w:rsidR="00650EFB">
              <w:rPr>
                <w:bCs/>
                <w:lang w:val="uk-UA"/>
              </w:rPr>
              <w:t>«</w:t>
            </w:r>
            <w:proofErr w:type="spellStart"/>
            <w:r w:rsidR="00E637EB" w:rsidRPr="00E637EB">
              <w:rPr>
                <w:bCs/>
                <w:lang w:val="uk-UA"/>
              </w:rPr>
              <w:t>Проєктні</w:t>
            </w:r>
            <w:proofErr w:type="spellEnd"/>
            <w:r w:rsidR="00E637EB" w:rsidRPr="00E637EB">
              <w:rPr>
                <w:bCs/>
                <w:lang w:val="uk-UA"/>
              </w:rPr>
              <w:t xml:space="preserve"> роботи по об’єкту: «Реконструкція. Модернізація локальної системи оповіщення про надзвичайні ситуації на Рівненській АЕС»</w:t>
            </w:r>
            <w:r w:rsidR="00AD1DA4" w:rsidRPr="00AD1DA4">
              <w:rPr>
                <w:bCs/>
                <w:kern w:val="36"/>
                <w:lang w:val="uk-UA" w:eastAsia="uk-UA"/>
              </w:rPr>
              <w:t xml:space="preserve"> </w:t>
            </w:r>
            <w:r w:rsidRPr="00AD1DA4">
              <w:rPr>
                <w:lang w:val="uk-UA"/>
              </w:rPr>
              <w:t>та встановлені відповідно до вимог  нормативних документів і виробничих документів ДП «НАЕК «Енергоатом» та ВП «Рівненська АЕС».</w:t>
            </w:r>
          </w:p>
          <w:p w:rsidR="00AD018C" w:rsidRPr="00AD018C" w:rsidRDefault="00AD018C" w:rsidP="00AD018C">
            <w:pPr>
              <w:tabs>
                <w:tab w:val="left" w:pos="567"/>
                <w:tab w:val="left" w:pos="709"/>
                <w:tab w:val="left" w:pos="1418"/>
              </w:tabs>
              <w:ind w:right="140"/>
              <w:jc w:val="both"/>
              <w:rPr>
                <w:bCs/>
                <w:lang w:val="uk-UA"/>
              </w:rPr>
            </w:pPr>
            <w:r w:rsidRPr="00AD018C">
              <w:rPr>
                <w:bCs/>
                <w:lang w:val="uk-UA"/>
              </w:rPr>
              <w:t>ЛСО призначена для оповіщення персоналу ВП «Рівненська АЕС» у разі загрози виникнення та під час виникнення надзвичайних ситуацій, в результаті яких у зону можливого негативного впливу потрапляє персонал підприємства, територія інших підприємств, установ і організацій.</w:t>
            </w:r>
          </w:p>
          <w:p w:rsidR="00AD018C" w:rsidRPr="00AD018C" w:rsidRDefault="00AD018C" w:rsidP="00AD018C">
            <w:pPr>
              <w:tabs>
                <w:tab w:val="left" w:pos="567"/>
                <w:tab w:val="left" w:pos="709"/>
                <w:tab w:val="left" w:pos="1418"/>
              </w:tabs>
              <w:ind w:right="140"/>
              <w:jc w:val="both"/>
              <w:rPr>
                <w:bCs/>
                <w:lang w:val="uk-UA"/>
              </w:rPr>
            </w:pPr>
            <w:r w:rsidRPr="00AD018C">
              <w:rPr>
                <w:bCs/>
                <w:lang w:val="uk-UA"/>
              </w:rPr>
              <w:t xml:space="preserve">На даний час на ВП «Рівненська АЕС» експлуатується обладнання ЛСО про НС типу П-164, яке встановлено в 1986 році та вичерпало термін корисної експлуатації. У зв’язку з старінням обладнання та відсутністю комплектуючих частин, як таких що не виготовляються, ремонту дане обладнання не підлягає. Технічний стан та функціонал існуючої ЛСО не задовольняє діючі вимоги нормативних документів України, щодо організації та забезпечення оповіщення про загрозу виникнення або виникнення надзвичайних ситуацій на об’єктах підвищеної небезпеки. З огляду на вищевказане, є потреба у заміні існуючого обладнання П-164 ЛСО про НС на сучасне обладнання. </w:t>
            </w:r>
          </w:p>
          <w:p w:rsidR="00E905BB" w:rsidRPr="00AD018C" w:rsidRDefault="00AD018C" w:rsidP="00AD018C">
            <w:pPr>
              <w:pStyle w:val="Standard"/>
              <w:tabs>
                <w:tab w:val="right" w:pos="9915"/>
              </w:tabs>
              <w:jc w:val="both"/>
              <w:outlineLvl w:val="0"/>
              <w:rPr>
                <w:rFonts w:ascii="Times New Roman" w:eastAsia="Times New Roman" w:hAnsi="Times New Roman" w:cs="Times New Roman"/>
                <w:color w:val="FF0000"/>
                <w:kern w:val="0"/>
                <w:sz w:val="22"/>
                <w:szCs w:val="22"/>
                <w:lang w:val="uk-UA"/>
              </w:rPr>
            </w:pPr>
            <w:r w:rsidRPr="00AD018C">
              <w:rPr>
                <w:rFonts w:ascii="Times New Roman" w:hAnsi="Times New Roman" w:cs="Times New Roman"/>
                <w:sz w:val="24"/>
                <w:lang w:val="uk-UA"/>
              </w:rPr>
              <w:t>Виконання робіт з реконструкції локальної системи оповіщення направлене на збільшення функціональних можливостей та підвищення оперативності і надійності управління процесами попередження про надзвичайну ситуацію.</w:t>
            </w:r>
          </w:p>
        </w:tc>
      </w:tr>
      <w:tr w:rsidR="00E905BB" w:rsidRPr="00E20A2C" w:rsidTr="00AD1DA4">
        <w:trPr>
          <w:trHeight w:val="2258"/>
        </w:trPr>
        <w:tc>
          <w:tcPr>
            <w:tcW w:w="421" w:type="dxa"/>
            <w:tcBorders>
              <w:top w:val="single" w:sz="4" w:space="0" w:color="auto"/>
              <w:left w:val="single" w:sz="4" w:space="0" w:color="auto"/>
              <w:bottom w:val="single" w:sz="4" w:space="0" w:color="auto"/>
              <w:right w:val="single" w:sz="4" w:space="0" w:color="auto"/>
            </w:tcBorders>
          </w:tcPr>
          <w:p w:rsidR="00E905BB" w:rsidRPr="00BC36CB" w:rsidRDefault="00E905BB" w:rsidP="00BC36CB">
            <w:pPr>
              <w:rPr>
                <w:lang w:val="uk-UA"/>
              </w:rPr>
            </w:pPr>
            <w:r w:rsidRPr="00BC36CB">
              <w:rPr>
                <w:lang w:val="uk-UA"/>
              </w:rPr>
              <w:t>3</w:t>
            </w:r>
          </w:p>
        </w:tc>
        <w:tc>
          <w:tcPr>
            <w:tcW w:w="3210" w:type="dxa"/>
            <w:tcBorders>
              <w:top w:val="single" w:sz="4" w:space="0" w:color="auto"/>
              <w:left w:val="single" w:sz="4" w:space="0" w:color="auto"/>
              <w:bottom w:val="single" w:sz="4" w:space="0" w:color="auto"/>
              <w:right w:val="single" w:sz="4" w:space="0" w:color="auto"/>
            </w:tcBorders>
          </w:tcPr>
          <w:p w:rsidR="00E905BB" w:rsidRPr="00BC36CB" w:rsidRDefault="00E905BB" w:rsidP="00BC36CB">
            <w:pPr>
              <w:rPr>
                <w:b/>
                <w:lang w:val="uk-UA"/>
              </w:rPr>
            </w:pPr>
            <w:r w:rsidRPr="00BC36CB">
              <w:rPr>
                <w:b/>
                <w:lang w:val="uk-UA"/>
              </w:rPr>
              <w:t>Обґрунтування очікуваної вартості предмета закупівлі, розміру бюджетного призначення</w:t>
            </w:r>
          </w:p>
        </w:tc>
        <w:tc>
          <w:tcPr>
            <w:tcW w:w="6116" w:type="dxa"/>
            <w:tcBorders>
              <w:top w:val="single" w:sz="4" w:space="0" w:color="auto"/>
              <w:left w:val="single" w:sz="4" w:space="0" w:color="auto"/>
              <w:bottom w:val="single" w:sz="4" w:space="0" w:color="auto"/>
              <w:right w:val="single" w:sz="4" w:space="0" w:color="auto"/>
            </w:tcBorders>
          </w:tcPr>
          <w:p w:rsidR="006439C3" w:rsidRPr="008F2DDC" w:rsidRDefault="006439C3" w:rsidP="00957868">
            <w:pPr>
              <w:jc w:val="both"/>
              <w:rPr>
                <w:color w:val="FF0000"/>
                <w:sz w:val="22"/>
                <w:szCs w:val="22"/>
                <w:lang w:val="uk-UA"/>
              </w:rPr>
            </w:pPr>
            <w:r w:rsidRPr="003B0BC5">
              <w:rPr>
                <w:lang w:val="uk-UA"/>
              </w:rPr>
              <w:t>Розрахунок очікуваної вартості предмета закупівлі виконано в порядку, передбаченому виробничими та організаційно-розпорядчими документами ДП «НАЕК «Енергоатом» та ВП «Рівненська АЕС», відповідно до Кошторисних норм України «Настанова з визначення вартості проектних, науково-проектних, вишукувальних робіт та експертизи  проектної документації на будівництво»</w:t>
            </w:r>
            <w:r>
              <w:rPr>
                <w:lang w:val="uk-UA"/>
              </w:rPr>
              <w:t xml:space="preserve"> </w:t>
            </w:r>
          </w:p>
        </w:tc>
      </w:tr>
    </w:tbl>
    <w:p w:rsidR="00E905BB" w:rsidRPr="006439C3" w:rsidRDefault="00E905BB" w:rsidP="00B25C28">
      <w:pPr>
        <w:jc w:val="both"/>
        <w:rPr>
          <w:lang w:val="uk-UA"/>
        </w:rPr>
      </w:pPr>
    </w:p>
    <w:p w:rsidR="00016227" w:rsidRPr="006439C3" w:rsidRDefault="00016227" w:rsidP="00B25C28">
      <w:pPr>
        <w:jc w:val="both"/>
        <w:rPr>
          <w:lang w:val="uk-UA"/>
        </w:rPr>
      </w:pPr>
    </w:p>
    <w:p w:rsidR="00016227" w:rsidRPr="00016227" w:rsidRDefault="00016227" w:rsidP="00B25C28">
      <w:pPr>
        <w:jc w:val="both"/>
        <w:rPr>
          <w:lang w:val="en-US"/>
        </w:rPr>
      </w:pPr>
    </w:p>
    <w:sectPr w:rsidR="00016227" w:rsidRPr="00016227" w:rsidSect="00B25C28">
      <w:pgSz w:w="11906" w:h="16838"/>
      <w:pgMar w:top="719" w:right="850"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0BE"/>
    <w:multiLevelType w:val="hybridMultilevel"/>
    <w:tmpl w:val="421A73D8"/>
    <w:lvl w:ilvl="0" w:tplc="FFFFFFFF">
      <w:start w:val="1"/>
      <w:numFmt w:val="bullet"/>
      <w:lvlText w:val=""/>
      <w:lvlJc w:val="left"/>
      <w:pPr>
        <w:tabs>
          <w:tab w:val="num" w:pos="928"/>
        </w:tabs>
        <w:ind w:left="928" w:hanging="360"/>
      </w:pPr>
      <w:rPr>
        <w:rFonts w:ascii="Symbol" w:hAnsi="Symbol" w:cs="Symbol" w:hint="default"/>
      </w:rPr>
    </w:lvl>
    <w:lvl w:ilvl="1" w:tplc="FFFFFFFF">
      <w:start w:val="1"/>
      <w:numFmt w:val="bullet"/>
      <w:lvlText w:val=""/>
      <w:lvlJc w:val="left"/>
      <w:pPr>
        <w:tabs>
          <w:tab w:val="num" w:pos="2154"/>
        </w:tabs>
        <w:ind w:left="2154" w:hanging="360"/>
      </w:pPr>
      <w:rPr>
        <w:rFonts w:ascii="Symbol" w:hAnsi="Symbol" w:cs="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28"/>
    <w:rsid w:val="000119B4"/>
    <w:rsid w:val="00016227"/>
    <w:rsid w:val="000A2187"/>
    <w:rsid w:val="00112C36"/>
    <w:rsid w:val="00190949"/>
    <w:rsid w:val="001D22EF"/>
    <w:rsid w:val="001D530A"/>
    <w:rsid w:val="001E7C86"/>
    <w:rsid w:val="00220C2B"/>
    <w:rsid w:val="0027564F"/>
    <w:rsid w:val="002F2B02"/>
    <w:rsid w:val="003540D0"/>
    <w:rsid w:val="004471D6"/>
    <w:rsid w:val="005359E3"/>
    <w:rsid w:val="005C7ABF"/>
    <w:rsid w:val="005D7053"/>
    <w:rsid w:val="006071F4"/>
    <w:rsid w:val="00627675"/>
    <w:rsid w:val="006439C3"/>
    <w:rsid w:val="00650EFB"/>
    <w:rsid w:val="007C6D27"/>
    <w:rsid w:val="007D0DBD"/>
    <w:rsid w:val="00847E69"/>
    <w:rsid w:val="008F2DDC"/>
    <w:rsid w:val="00923EEE"/>
    <w:rsid w:val="00956085"/>
    <w:rsid w:val="00957868"/>
    <w:rsid w:val="009C4D63"/>
    <w:rsid w:val="009D12B1"/>
    <w:rsid w:val="00AD018C"/>
    <w:rsid w:val="00AD1DA4"/>
    <w:rsid w:val="00AE5B08"/>
    <w:rsid w:val="00B25C28"/>
    <w:rsid w:val="00B456DD"/>
    <w:rsid w:val="00B853C0"/>
    <w:rsid w:val="00B93747"/>
    <w:rsid w:val="00BC36CB"/>
    <w:rsid w:val="00BD3489"/>
    <w:rsid w:val="00BE718D"/>
    <w:rsid w:val="00C53D49"/>
    <w:rsid w:val="00C7028F"/>
    <w:rsid w:val="00C73F98"/>
    <w:rsid w:val="00C82228"/>
    <w:rsid w:val="00D73AE0"/>
    <w:rsid w:val="00DA16E2"/>
    <w:rsid w:val="00E02411"/>
    <w:rsid w:val="00E12870"/>
    <w:rsid w:val="00E1754E"/>
    <w:rsid w:val="00E20A2C"/>
    <w:rsid w:val="00E637EB"/>
    <w:rsid w:val="00E905BB"/>
    <w:rsid w:val="00E92764"/>
    <w:rsid w:val="00EA26CE"/>
    <w:rsid w:val="00ED6692"/>
    <w:rsid w:val="00F55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F892964-BFFA-4DDF-B588-C531C0EF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6E2"/>
    <w:rPr>
      <w:rFonts w:ascii="Times New Roman" w:hAnsi="Times New Roman"/>
      <w:sz w:val="24"/>
      <w:szCs w:val="24"/>
      <w:lang w:val="ru-RU" w:eastAsia="ru-RU"/>
    </w:rPr>
  </w:style>
  <w:style w:type="paragraph" w:styleId="2">
    <w:name w:val="heading 2"/>
    <w:basedOn w:val="a"/>
    <w:next w:val="a"/>
    <w:link w:val="20"/>
    <w:semiHidden/>
    <w:unhideWhenUsed/>
    <w:qFormat/>
    <w:locked/>
    <w:rsid w:val="00AD1DA4"/>
    <w:pPr>
      <w:keepNext/>
      <w:widowControl w:val="0"/>
      <w:autoSpaceDE w:val="0"/>
      <w:autoSpaceDN w:val="0"/>
      <w:adjustRightInd w:val="0"/>
      <w:jc w:val="center"/>
      <w:outlineLvl w:val="1"/>
    </w:pPr>
    <w:rPr>
      <w:rFonts w:ascii="Palatino Linotype" w:eastAsia="Times New Roman" w:hAnsi="Palatino Linotype"/>
      <w:b/>
      <w:bCs/>
      <w:sz w:val="28"/>
      <w:szCs w:val="20"/>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A16E2"/>
    <w:pPr>
      <w:ind w:left="720"/>
    </w:pPr>
  </w:style>
  <w:style w:type="paragraph" w:customStyle="1" w:styleId="Standard">
    <w:name w:val="Standard"/>
    <w:rsid w:val="001E7C86"/>
    <w:pPr>
      <w:widowControl w:val="0"/>
      <w:suppressAutoHyphens/>
      <w:autoSpaceDN w:val="0"/>
      <w:textAlignment w:val="baseline"/>
    </w:pPr>
    <w:rPr>
      <w:rFonts w:ascii="Arial" w:eastAsia="Lucida Sans Unicode" w:hAnsi="Arial" w:cs="Tahoma"/>
      <w:bCs/>
      <w:kern w:val="3"/>
      <w:sz w:val="21"/>
      <w:szCs w:val="24"/>
      <w:lang w:val="ru-RU" w:eastAsia="ru-RU"/>
    </w:rPr>
  </w:style>
  <w:style w:type="paragraph" w:styleId="a3">
    <w:name w:val="Body Text"/>
    <w:basedOn w:val="a"/>
    <w:link w:val="a4"/>
    <w:semiHidden/>
    <w:rsid w:val="001E7C86"/>
    <w:pPr>
      <w:jc w:val="both"/>
    </w:pPr>
    <w:rPr>
      <w:rFonts w:eastAsia="Times New Roman"/>
      <w:lang w:val="uk-UA"/>
    </w:rPr>
  </w:style>
  <w:style w:type="character" w:customStyle="1" w:styleId="a4">
    <w:name w:val="Основной текст Знак"/>
    <w:link w:val="a3"/>
    <w:semiHidden/>
    <w:rsid w:val="001E7C86"/>
    <w:rPr>
      <w:sz w:val="24"/>
      <w:szCs w:val="24"/>
      <w:lang w:val="uk-UA" w:eastAsia="ru-RU" w:bidi="ar-SA"/>
    </w:rPr>
  </w:style>
  <w:style w:type="character" w:customStyle="1" w:styleId="hps">
    <w:name w:val="hps"/>
    <w:basedOn w:val="a0"/>
    <w:rsid w:val="0027564F"/>
  </w:style>
  <w:style w:type="paragraph" w:customStyle="1" w:styleId="1">
    <w:name w:val=" Знак Знак1 Знак Знак Знак Знак"/>
    <w:basedOn w:val="a"/>
    <w:link w:val="a0"/>
    <w:rsid w:val="0027564F"/>
    <w:pPr>
      <w:widowControl w:val="0"/>
      <w:spacing w:before="20" w:line="360" w:lineRule="auto"/>
      <w:ind w:firstLine="567"/>
      <w:jc w:val="both"/>
    </w:pPr>
    <w:rPr>
      <w:rFonts w:eastAsia="Times New Roman" w:cs="Verdana"/>
      <w:lang w:eastAsia="en-US"/>
    </w:rPr>
  </w:style>
  <w:style w:type="character" w:customStyle="1" w:styleId="20">
    <w:name w:val="Заголовок 2 Знак"/>
    <w:link w:val="2"/>
    <w:semiHidden/>
    <w:rsid w:val="00AD1DA4"/>
    <w:rPr>
      <w:rFonts w:ascii="Palatino Linotype" w:eastAsia="Times New Roman" w:hAnsi="Palatino Linotype"/>
      <w:b/>
      <w:bC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15387">
      <w:bodyDiv w:val="1"/>
      <w:marLeft w:val="0"/>
      <w:marRight w:val="0"/>
      <w:marTop w:val="0"/>
      <w:marBottom w:val="0"/>
      <w:divBdr>
        <w:top w:val="none" w:sz="0" w:space="0" w:color="auto"/>
        <w:left w:val="none" w:sz="0" w:space="0" w:color="auto"/>
        <w:bottom w:val="none" w:sz="0" w:space="0" w:color="auto"/>
        <w:right w:val="none" w:sz="0" w:space="0" w:color="auto"/>
      </w:divBdr>
    </w:div>
    <w:div w:id="848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1504</Words>
  <Characters>858</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Обґрунтування технічних та якісних характеристик предмета закупівлі, очікуваної вартості предмета закупівлі</vt:lpstr>
      <vt:lpstr>Обґрунтування технічних та якісних характеристик предмета закупівлі, очікуваної вартості предмета закупівлі</vt:lpstr>
    </vt:vector>
  </TitlesOfParts>
  <Company>Ровенская АЭС</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Обґрунтування технічних та якісних характеристик предмета закупівлі, очікуваної вартості предмета закупівлі</dc:title>
  <dc:subject/>
  <dc:creator>userua12</dc:creator>
  <cp:keywords/>
  <cp:lastModifiedBy>Беленко Тетяна Валеріївна</cp:lastModifiedBy>
  <cp:revision>2</cp:revision>
  <cp:lastPrinted>2021-04-27T13:39:00Z</cp:lastPrinted>
  <dcterms:created xsi:type="dcterms:W3CDTF">2022-12-01T14:57:00Z</dcterms:created>
  <dcterms:modified xsi:type="dcterms:W3CDTF">2022-12-01T14:57:00Z</dcterms:modified>
</cp:coreProperties>
</file>