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D5ADD" w14:textId="4AA2ACCC" w:rsidR="00D326EE" w:rsidRPr="00FF6350" w:rsidRDefault="001F20B2" w:rsidP="001F20B2">
      <w:pPr>
        <w:ind w:left="6521" w:hanging="41"/>
      </w:pPr>
      <w:r>
        <w:t>Затверджене</w:t>
      </w:r>
      <w:r w:rsidR="00D326EE" w:rsidRPr="00FF6350">
        <w:t xml:space="preserve"> </w:t>
      </w:r>
      <w:bookmarkStart w:id="0" w:name="_GoBack"/>
      <w:bookmarkEnd w:id="0"/>
      <w:r>
        <w:t>ро</w:t>
      </w:r>
      <w:r w:rsidRPr="00FF6350">
        <w:t>зпорядженн</w:t>
      </w:r>
      <w:r>
        <w:t xml:space="preserve">ям </w:t>
      </w:r>
      <w:r>
        <w:br/>
        <w:t xml:space="preserve">АТ «НАЕК «Енергоатом» </w:t>
      </w:r>
    </w:p>
    <w:p w14:paraId="0C63A628" w14:textId="69F2A4CD" w:rsidR="00D326EE" w:rsidRPr="00FF6350" w:rsidRDefault="00D326EE" w:rsidP="001A0839">
      <w:pPr>
        <w:ind w:left="6521" w:hanging="41"/>
      </w:pPr>
      <w:r w:rsidRPr="00FF6350">
        <w:t xml:space="preserve">від </w:t>
      </w:r>
      <w:r w:rsidR="003A03AB">
        <w:t>13.08.</w:t>
      </w:r>
      <w:r w:rsidRPr="00FF6350">
        <w:t>20</w:t>
      </w:r>
      <w:r w:rsidR="00DB4459" w:rsidRPr="00FF6350">
        <w:t>2</w:t>
      </w:r>
      <w:r w:rsidR="0069117A" w:rsidRPr="00FF6350">
        <w:t>4</w:t>
      </w:r>
      <w:r w:rsidRPr="00FF6350">
        <w:t xml:space="preserve"> № </w:t>
      </w:r>
      <w:r w:rsidR="003A03AB">
        <w:t>01-771-р</w:t>
      </w:r>
      <w:r w:rsidR="001A0839" w:rsidRPr="00FF6350">
        <w:t xml:space="preserve">            </w:t>
      </w:r>
    </w:p>
    <w:p w14:paraId="65EA0626" w14:textId="77777777" w:rsidR="00D326EE" w:rsidRPr="00FF6350" w:rsidRDefault="00D326EE" w:rsidP="00D326EE">
      <w:pPr>
        <w:ind w:left="3540" w:firstLine="708"/>
        <w:jc w:val="both"/>
        <w:rPr>
          <w:sz w:val="26"/>
          <w:szCs w:val="26"/>
        </w:rPr>
      </w:pPr>
    </w:p>
    <w:p w14:paraId="5DFAD3CB" w14:textId="77777777" w:rsidR="00E60BAD" w:rsidRPr="00FF6350" w:rsidRDefault="00E60BAD" w:rsidP="00D326EE">
      <w:pPr>
        <w:ind w:left="3540" w:firstLine="708"/>
        <w:jc w:val="both"/>
        <w:rPr>
          <w:sz w:val="26"/>
          <w:szCs w:val="26"/>
        </w:rPr>
      </w:pPr>
    </w:p>
    <w:p w14:paraId="7A9BF37A" w14:textId="77777777" w:rsidR="00794B8F" w:rsidRPr="00FF6350" w:rsidRDefault="00794B8F" w:rsidP="00D326EE">
      <w:pPr>
        <w:ind w:left="3540" w:firstLine="708"/>
        <w:jc w:val="both"/>
        <w:rPr>
          <w:sz w:val="26"/>
          <w:szCs w:val="26"/>
        </w:rPr>
      </w:pPr>
    </w:p>
    <w:p w14:paraId="4BD87C44" w14:textId="77777777" w:rsidR="00D326EE" w:rsidRPr="00FF6350" w:rsidRDefault="00D326EE" w:rsidP="00D326EE">
      <w:pPr>
        <w:ind w:firstLine="708"/>
        <w:jc w:val="center"/>
        <w:rPr>
          <w:b/>
          <w:sz w:val="26"/>
          <w:szCs w:val="26"/>
        </w:rPr>
      </w:pPr>
      <w:r w:rsidRPr="00FF6350">
        <w:rPr>
          <w:b/>
          <w:sz w:val="26"/>
          <w:szCs w:val="26"/>
        </w:rPr>
        <w:t>Порядок</w:t>
      </w:r>
    </w:p>
    <w:p w14:paraId="4B241ABD" w14:textId="63A3F48A" w:rsidR="00D326EE" w:rsidRPr="00FF6350" w:rsidRDefault="00A1521D" w:rsidP="00D326EE">
      <w:pPr>
        <w:ind w:firstLine="708"/>
        <w:jc w:val="center"/>
        <w:rPr>
          <w:b/>
          <w:sz w:val="26"/>
          <w:szCs w:val="26"/>
        </w:rPr>
      </w:pPr>
      <w:r w:rsidRPr="00FF6350">
        <w:rPr>
          <w:b/>
          <w:sz w:val="26"/>
          <w:szCs w:val="26"/>
        </w:rPr>
        <w:t xml:space="preserve">формування </w:t>
      </w:r>
      <w:r w:rsidR="009C7FE4">
        <w:rPr>
          <w:b/>
          <w:sz w:val="26"/>
          <w:szCs w:val="26"/>
        </w:rPr>
        <w:t xml:space="preserve">АТ «НАЕК «Енергоатом» </w:t>
      </w:r>
      <w:r w:rsidRPr="00FF6350">
        <w:rPr>
          <w:b/>
          <w:sz w:val="26"/>
          <w:szCs w:val="26"/>
        </w:rPr>
        <w:t>переліку</w:t>
      </w:r>
      <w:r w:rsidR="006952A5" w:rsidRPr="00FF6350">
        <w:rPr>
          <w:b/>
          <w:sz w:val="26"/>
          <w:szCs w:val="26"/>
        </w:rPr>
        <w:t xml:space="preserve"> страхових компаній, що</w:t>
      </w:r>
      <w:r w:rsidR="00D326EE" w:rsidRPr="00FF6350">
        <w:rPr>
          <w:b/>
          <w:sz w:val="26"/>
          <w:szCs w:val="26"/>
        </w:rPr>
        <w:t xml:space="preserve"> здійснюють </w:t>
      </w:r>
      <w:r w:rsidR="00D326EE" w:rsidRPr="00FF6350">
        <w:rPr>
          <w:b/>
          <w:bCs/>
          <w:sz w:val="26"/>
          <w:szCs w:val="26"/>
        </w:rPr>
        <w:t>забезпечення  тендерних пропозицій, забезпечення виконання умов договорів про закупівлю</w:t>
      </w:r>
      <w:r w:rsidR="004A2C06" w:rsidRPr="00FF6350">
        <w:rPr>
          <w:b/>
          <w:bCs/>
          <w:sz w:val="26"/>
          <w:szCs w:val="26"/>
        </w:rPr>
        <w:t>, а також забезпечення повернення авансового платежу</w:t>
      </w:r>
    </w:p>
    <w:p w14:paraId="43229CED" w14:textId="77777777" w:rsidR="00D326EE" w:rsidRPr="00FF6350" w:rsidRDefault="00D326EE" w:rsidP="00D326EE">
      <w:pPr>
        <w:ind w:firstLine="708"/>
        <w:jc w:val="center"/>
        <w:rPr>
          <w:b/>
          <w:sz w:val="26"/>
          <w:szCs w:val="26"/>
        </w:rPr>
      </w:pPr>
    </w:p>
    <w:p w14:paraId="21EB08E4" w14:textId="77777777" w:rsidR="00FB5192" w:rsidRPr="00FF6350" w:rsidRDefault="00FB5192" w:rsidP="00D326EE">
      <w:pPr>
        <w:ind w:firstLine="708"/>
        <w:jc w:val="center"/>
        <w:rPr>
          <w:b/>
          <w:sz w:val="26"/>
          <w:szCs w:val="26"/>
        </w:rPr>
      </w:pPr>
    </w:p>
    <w:p w14:paraId="50C0CFAB" w14:textId="77777777" w:rsidR="00FB5192" w:rsidRPr="00FF6350" w:rsidRDefault="00FB5192" w:rsidP="00D326EE">
      <w:pPr>
        <w:ind w:firstLine="708"/>
        <w:jc w:val="center"/>
        <w:rPr>
          <w:b/>
          <w:sz w:val="26"/>
          <w:szCs w:val="26"/>
        </w:rPr>
      </w:pPr>
    </w:p>
    <w:p w14:paraId="0FEBBFD8" w14:textId="103D92CD" w:rsidR="00D326EE" w:rsidRPr="00FF6350" w:rsidRDefault="00522B93" w:rsidP="00522B93">
      <w:pPr>
        <w:pStyle w:val="a4"/>
        <w:numPr>
          <w:ilvl w:val="0"/>
          <w:numId w:val="6"/>
        </w:numPr>
        <w:spacing w:after="120"/>
        <w:ind w:left="709" w:hanging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Загальні положення</w:t>
      </w:r>
      <w:r w:rsidR="00D326EE" w:rsidRPr="00FF6350">
        <w:rPr>
          <w:b/>
          <w:i/>
          <w:sz w:val="26"/>
          <w:szCs w:val="26"/>
        </w:rPr>
        <w:t xml:space="preserve"> </w:t>
      </w:r>
    </w:p>
    <w:p w14:paraId="37F6C9E6" w14:textId="07F68F55" w:rsidR="00522B93" w:rsidRDefault="00A1521D" w:rsidP="00522B93">
      <w:pPr>
        <w:pStyle w:val="a4"/>
        <w:numPr>
          <w:ilvl w:val="1"/>
          <w:numId w:val="8"/>
        </w:numPr>
        <w:spacing w:after="120"/>
        <w:jc w:val="both"/>
        <w:rPr>
          <w:sz w:val="26"/>
          <w:szCs w:val="26"/>
        </w:rPr>
      </w:pPr>
      <w:r w:rsidRPr="00522B93">
        <w:rPr>
          <w:sz w:val="26"/>
          <w:szCs w:val="26"/>
        </w:rPr>
        <w:t xml:space="preserve">Цей </w:t>
      </w:r>
      <w:r w:rsidR="002C0E29" w:rsidRPr="00522B93">
        <w:rPr>
          <w:sz w:val="26"/>
          <w:szCs w:val="26"/>
        </w:rPr>
        <w:t>П</w:t>
      </w:r>
      <w:r w:rsidRPr="00522B93">
        <w:rPr>
          <w:sz w:val="26"/>
          <w:szCs w:val="26"/>
        </w:rPr>
        <w:t xml:space="preserve">орядок визначає механізм формування </w:t>
      </w:r>
      <w:r w:rsidR="00EF321A" w:rsidRPr="00522B93">
        <w:rPr>
          <w:sz w:val="26"/>
          <w:szCs w:val="26"/>
        </w:rPr>
        <w:t xml:space="preserve">та ведення </w:t>
      </w:r>
      <w:r w:rsidRPr="00522B93">
        <w:rPr>
          <w:sz w:val="26"/>
          <w:szCs w:val="26"/>
        </w:rPr>
        <w:t xml:space="preserve">переліку </w:t>
      </w:r>
      <w:r w:rsidR="006952A5" w:rsidRPr="00522B93">
        <w:rPr>
          <w:sz w:val="26"/>
          <w:szCs w:val="26"/>
        </w:rPr>
        <w:t>страхових компаній, що</w:t>
      </w:r>
      <w:r w:rsidR="00D326EE" w:rsidRPr="00522B93">
        <w:rPr>
          <w:sz w:val="26"/>
          <w:szCs w:val="26"/>
        </w:rPr>
        <w:t xml:space="preserve"> здійснюють забезпечення тендерних пропозицій  учасників процедур закупівель, замовником яких є </w:t>
      </w:r>
      <w:r w:rsidR="0069117A" w:rsidRPr="00522B93">
        <w:rPr>
          <w:sz w:val="26"/>
          <w:szCs w:val="26"/>
        </w:rPr>
        <w:t>АТ</w:t>
      </w:r>
      <w:r w:rsidR="00D326EE" w:rsidRPr="00522B93">
        <w:rPr>
          <w:sz w:val="26"/>
          <w:szCs w:val="26"/>
        </w:rPr>
        <w:t xml:space="preserve"> «НАЕК «Енергоатом», забезпечення виконання </w:t>
      </w:r>
      <w:r w:rsidR="00B83DFC" w:rsidRPr="00522B93">
        <w:rPr>
          <w:sz w:val="26"/>
          <w:szCs w:val="26"/>
        </w:rPr>
        <w:t xml:space="preserve">переможцями  процедур закупівель </w:t>
      </w:r>
      <w:r w:rsidR="00D326EE" w:rsidRPr="00522B93">
        <w:rPr>
          <w:sz w:val="26"/>
          <w:szCs w:val="26"/>
        </w:rPr>
        <w:t>договорів про закупівлю</w:t>
      </w:r>
      <w:r w:rsidR="0069117A" w:rsidRPr="00522B93">
        <w:rPr>
          <w:sz w:val="26"/>
          <w:szCs w:val="26"/>
        </w:rPr>
        <w:t>, а також за</w:t>
      </w:r>
      <w:r w:rsidR="00B83DFC">
        <w:rPr>
          <w:sz w:val="26"/>
          <w:szCs w:val="26"/>
        </w:rPr>
        <w:t xml:space="preserve">безпечення повернення </w:t>
      </w:r>
      <w:r w:rsidR="00B83DFC" w:rsidRPr="00522B93">
        <w:rPr>
          <w:sz w:val="26"/>
          <w:szCs w:val="26"/>
        </w:rPr>
        <w:t xml:space="preserve">контрагентами за договорами </w:t>
      </w:r>
      <w:r w:rsidR="00B83DFC">
        <w:rPr>
          <w:sz w:val="26"/>
          <w:szCs w:val="26"/>
        </w:rPr>
        <w:t>авансових</w:t>
      </w:r>
      <w:r w:rsidR="0069117A" w:rsidRPr="00522B93">
        <w:rPr>
          <w:sz w:val="26"/>
          <w:szCs w:val="26"/>
        </w:rPr>
        <w:t xml:space="preserve"> платеж</w:t>
      </w:r>
      <w:r w:rsidR="00B83DFC">
        <w:rPr>
          <w:sz w:val="26"/>
          <w:szCs w:val="26"/>
        </w:rPr>
        <w:t>ів</w:t>
      </w:r>
      <w:r w:rsidR="00826617" w:rsidRPr="00522B93">
        <w:rPr>
          <w:sz w:val="26"/>
          <w:szCs w:val="26"/>
        </w:rPr>
        <w:t xml:space="preserve"> </w:t>
      </w:r>
      <w:r w:rsidR="00D326EE" w:rsidRPr="00522B93">
        <w:rPr>
          <w:sz w:val="26"/>
          <w:szCs w:val="26"/>
        </w:rPr>
        <w:t>шляхом укладення з такими учасниками</w:t>
      </w:r>
      <w:r w:rsidR="001819E7" w:rsidRPr="00522B93">
        <w:rPr>
          <w:sz w:val="26"/>
          <w:szCs w:val="26"/>
        </w:rPr>
        <w:t>/контрагентами</w:t>
      </w:r>
      <w:r w:rsidR="00D326EE" w:rsidRPr="00522B93">
        <w:rPr>
          <w:sz w:val="26"/>
          <w:szCs w:val="26"/>
        </w:rPr>
        <w:t xml:space="preserve"> договорів страхування (страхування відповідальності учасників</w:t>
      </w:r>
      <w:r w:rsidR="001819E7" w:rsidRPr="00522B93">
        <w:rPr>
          <w:sz w:val="26"/>
          <w:szCs w:val="26"/>
        </w:rPr>
        <w:t>/контрагентів</w:t>
      </w:r>
      <w:r w:rsidR="00D326EE" w:rsidRPr="00522B93">
        <w:rPr>
          <w:sz w:val="26"/>
          <w:szCs w:val="26"/>
        </w:rPr>
        <w:t xml:space="preserve"> перед третіми особами (</w:t>
      </w:r>
      <w:r w:rsidR="0069117A" w:rsidRPr="00522B93">
        <w:rPr>
          <w:sz w:val="26"/>
          <w:szCs w:val="26"/>
        </w:rPr>
        <w:t>АТ</w:t>
      </w:r>
      <w:r w:rsidR="00522B93">
        <w:rPr>
          <w:sz w:val="26"/>
          <w:szCs w:val="26"/>
        </w:rPr>
        <w:t> </w:t>
      </w:r>
      <w:r w:rsidR="00D326EE" w:rsidRPr="00522B93">
        <w:rPr>
          <w:sz w:val="26"/>
          <w:szCs w:val="26"/>
        </w:rPr>
        <w:t xml:space="preserve">«НАЕК «Енергоатом») (далі – </w:t>
      </w:r>
      <w:r w:rsidR="00F4491B" w:rsidRPr="00522B93">
        <w:rPr>
          <w:sz w:val="26"/>
          <w:szCs w:val="26"/>
        </w:rPr>
        <w:t>П</w:t>
      </w:r>
      <w:r w:rsidR="00741B24" w:rsidRPr="00522B93">
        <w:rPr>
          <w:sz w:val="26"/>
          <w:szCs w:val="26"/>
        </w:rPr>
        <w:t>орядок</w:t>
      </w:r>
      <w:r w:rsidR="00D326EE" w:rsidRPr="00522B93">
        <w:rPr>
          <w:sz w:val="26"/>
          <w:szCs w:val="26"/>
        </w:rPr>
        <w:t>). Факт укладення договору страхування засвідчується страховою гарантією</w:t>
      </w:r>
      <w:r w:rsidR="00C73AFE" w:rsidRPr="00522B93">
        <w:rPr>
          <w:sz w:val="26"/>
          <w:szCs w:val="26"/>
        </w:rPr>
        <w:t xml:space="preserve"> (сертифікат</w:t>
      </w:r>
      <w:r w:rsidR="00B83DFC">
        <w:rPr>
          <w:sz w:val="26"/>
          <w:szCs w:val="26"/>
        </w:rPr>
        <w:t>ом</w:t>
      </w:r>
      <w:r w:rsidR="00C73AFE" w:rsidRPr="00522B93">
        <w:rPr>
          <w:sz w:val="26"/>
          <w:szCs w:val="26"/>
        </w:rPr>
        <w:t>)</w:t>
      </w:r>
      <w:r w:rsidR="00D326EE" w:rsidRPr="00522B93">
        <w:rPr>
          <w:sz w:val="26"/>
          <w:szCs w:val="26"/>
        </w:rPr>
        <w:t>.</w:t>
      </w:r>
    </w:p>
    <w:p w14:paraId="49481536" w14:textId="492EEC3B" w:rsidR="00522B93" w:rsidRDefault="00D326EE" w:rsidP="00522B93">
      <w:pPr>
        <w:pStyle w:val="a4"/>
        <w:numPr>
          <w:ilvl w:val="1"/>
          <w:numId w:val="8"/>
        </w:numPr>
        <w:spacing w:after="120"/>
        <w:jc w:val="both"/>
        <w:rPr>
          <w:sz w:val="26"/>
          <w:szCs w:val="26"/>
        </w:rPr>
      </w:pPr>
      <w:r w:rsidRPr="00522B93">
        <w:rPr>
          <w:sz w:val="26"/>
          <w:szCs w:val="26"/>
        </w:rPr>
        <w:t xml:space="preserve">Метою </w:t>
      </w:r>
      <w:r w:rsidR="00A1521D" w:rsidRPr="00522B93">
        <w:rPr>
          <w:sz w:val="26"/>
          <w:szCs w:val="26"/>
        </w:rPr>
        <w:t xml:space="preserve">формування </w:t>
      </w:r>
      <w:r w:rsidR="00B83DFC" w:rsidRPr="00522B93">
        <w:rPr>
          <w:sz w:val="26"/>
          <w:szCs w:val="26"/>
        </w:rPr>
        <w:t>у АТ «НАЕК «Енергоатом»</w:t>
      </w:r>
      <w:r w:rsidR="00B83DFC">
        <w:rPr>
          <w:sz w:val="26"/>
          <w:szCs w:val="26"/>
        </w:rPr>
        <w:t xml:space="preserve"> </w:t>
      </w:r>
      <w:r w:rsidR="00A1521D" w:rsidRPr="00522B93">
        <w:rPr>
          <w:sz w:val="26"/>
          <w:szCs w:val="26"/>
        </w:rPr>
        <w:t xml:space="preserve">переліку </w:t>
      </w:r>
      <w:r w:rsidRPr="00522B93">
        <w:rPr>
          <w:sz w:val="26"/>
          <w:szCs w:val="26"/>
        </w:rPr>
        <w:t xml:space="preserve">страхових компаній є </w:t>
      </w:r>
      <w:r w:rsidR="00EB51EE" w:rsidRPr="00522B93">
        <w:rPr>
          <w:sz w:val="26"/>
          <w:szCs w:val="26"/>
        </w:rPr>
        <w:t xml:space="preserve">визначення їх фінансової стійкості для </w:t>
      </w:r>
      <w:r w:rsidRPr="00522B93">
        <w:rPr>
          <w:sz w:val="26"/>
          <w:szCs w:val="26"/>
        </w:rPr>
        <w:t xml:space="preserve">забезпечення захисту економічних інтересів </w:t>
      </w:r>
      <w:r w:rsidR="0069117A" w:rsidRPr="00522B93">
        <w:rPr>
          <w:sz w:val="26"/>
          <w:szCs w:val="26"/>
        </w:rPr>
        <w:t>АТ</w:t>
      </w:r>
      <w:r w:rsidRPr="00522B93">
        <w:rPr>
          <w:sz w:val="26"/>
          <w:szCs w:val="26"/>
        </w:rPr>
        <w:t xml:space="preserve"> «НАЕК «Енергоатом», мінімізація ризиків </w:t>
      </w:r>
      <w:r w:rsidR="0041142C" w:rsidRPr="00522B93">
        <w:rPr>
          <w:sz w:val="26"/>
          <w:szCs w:val="26"/>
        </w:rPr>
        <w:t xml:space="preserve">у разі </w:t>
      </w:r>
      <w:r w:rsidRPr="00522B93">
        <w:rPr>
          <w:sz w:val="26"/>
          <w:szCs w:val="26"/>
        </w:rPr>
        <w:t>наданн</w:t>
      </w:r>
      <w:r w:rsidR="0041142C" w:rsidRPr="00522B93">
        <w:rPr>
          <w:sz w:val="26"/>
          <w:szCs w:val="26"/>
        </w:rPr>
        <w:t>я</w:t>
      </w:r>
      <w:r w:rsidRPr="00522B93">
        <w:rPr>
          <w:sz w:val="26"/>
          <w:szCs w:val="26"/>
        </w:rPr>
        <w:t xml:space="preserve"> учасниками процедур закупівель, замовником яких є </w:t>
      </w:r>
      <w:r w:rsidR="0069117A" w:rsidRPr="00522B93">
        <w:rPr>
          <w:sz w:val="26"/>
          <w:szCs w:val="26"/>
        </w:rPr>
        <w:t>АТ</w:t>
      </w:r>
      <w:r w:rsidRPr="00522B93">
        <w:rPr>
          <w:sz w:val="26"/>
          <w:szCs w:val="26"/>
        </w:rPr>
        <w:t> «НАЕК «Енергоатом», забезпечення тендерних пропозицій</w:t>
      </w:r>
      <w:r w:rsidR="0069117A" w:rsidRPr="00522B93">
        <w:rPr>
          <w:sz w:val="26"/>
          <w:szCs w:val="26"/>
        </w:rPr>
        <w:t xml:space="preserve">, </w:t>
      </w:r>
      <w:r w:rsidR="001819E7" w:rsidRPr="00522B93">
        <w:rPr>
          <w:sz w:val="26"/>
          <w:szCs w:val="26"/>
        </w:rPr>
        <w:t xml:space="preserve">переможцями  процедур закупівель </w:t>
      </w:r>
      <w:r w:rsidR="00B83DFC">
        <w:rPr>
          <w:sz w:val="26"/>
          <w:szCs w:val="26"/>
        </w:rPr>
        <w:t>–</w:t>
      </w:r>
      <w:r w:rsidRPr="00522B93">
        <w:rPr>
          <w:sz w:val="26"/>
          <w:szCs w:val="26"/>
        </w:rPr>
        <w:t>забезпечення виконання договору про закупівлю</w:t>
      </w:r>
      <w:r w:rsidR="0069117A" w:rsidRPr="00522B93">
        <w:rPr>
          <w:sz w:val="26"/>
          <w:szCs w:val="26"/>
        </w:rPr>
        <w:t xml:space="preserve"> та </w:t>
      </w:r>
      <w:r w:rsidR="001819E7" w:rsidRPr="00522B93">
        <w:rPr>
          <w:sz w:val="26"/>
          <w:szCs w:val="26"/>
        </w:rPr>
        <w:t>контрагентами</w:t>
      </w:r>
      <w:r w:rsidR="00B83DFC">
        <w:rPr>
          <w:sz w:val="26"/>
          <w:szCs w:val="26"/>
        </w:rPr>
        <w:t xml:space="preserve"> –</w:t>
      </w:r>
      <w:r w:rsidR="001819E7" w:rsidRPr="00522B93">
        <w:rPr>
          <w:sz w:val="26"/>
          <w:szCs w:val="26"/>
        </w:rPr>
        <w:t xml:space="preserve"> </w:t>
      </w:r>
      <w:r w:rsidR="0069117A" w:rsidRPr="00522B93">
        <w:rPr>
          <w:sz w:val="26"/>
          <w:szCs w:val="26"/>
        </w:rPr>
        <w:t>забезпечення повернення авансового платежу</w:t>
      </w:r>
      <w:r w:rsidR="00766B62" w:rsidRPr="00522B93">
        <w:rPr>
          <w:sz w:val="26"/>
          <w:szCs w:val="26"/>
        </w:rPr>
        <w:t>.</w:t>
      </w:r>
    </w:p>
    <w:p w14:paraId="77491D16" w14:textId="4AC211A2" w:rsidR="00522B93" w:rsidRDefault="00B30A48" w:rsidP="00522B93">
      <w:pPr>
        <w:pStyle w:val="a4"/>
        <w:numPr>
          <w:ilvl w:val="1"/>
          <w:numId w:val="8"/>
        </w:numPr>
        <w:spacing w:after="120"/>
        <w:jc w:val="both"/>
        <w:rPr>
          <w:sz w:val="26"/>
          <w:szCs w:val="26"/>
        </w:rPr>
      </w:pPr>
      <w:r w:rsidRPr="00522B93">
        <w:rPr>
          <w:sz w:val="26"/>
          <w:szCs w:val="26"/>
        </w:rPr>
        <w:t>Перелік страхових компаній</w:t>
      </w:r>
      <w:r w:rsidR="00741B24" w:rsidRPr="00522B93">
        <w:rPr>
          <w:sz w:val="26"/>
          <w:szCs w:val="26"/>
        </w:rPr>
        <w:t>, що здійснюють за</w:t>
      </w:r>
      <w:r w:rsidR="00C33B8E" w:rsidRPr="00522B93">
        <w:rPr>
          <w:sz w:val="26"/>
          <w:szCs w:val="26"/>
        </w:rPr>
        <w:t>безпечення тендерних пропозицій</w:t>
      </w:r>
      <w:r w:rsidR="00FF6350" w:rsidRPr="00522B93">
        <w:rPr>
          <w:sz w:val="26"/>
          <w:szCs w:val="26"/>
        </w:rPr>
        <w:t xml:space="preserve">, </w:t>
      </w:r>
      <w:r w:rsidR="00741B24" w:rsidRPr="00522B93">
        <w:rPr>
          <w:sz w:val="26"/>
          <w:szCs w:val="26"/>
        </w:rPr>
        <w:t>забезпечення виконання договорів про закупівлю</w:t>
      </w:r>
      <w:r w:rsidR="00FF6350" w:rsidRPr="00522B93">
        <w:rPr>
          <w:sz w:val="26"/>
          <w:szCs w:val="26"/>
        </w:rPr>
        <w:t xml:space="preserve">, а також </w:t>
      </w:r>
      <w:r w:rsidR="00B83DFC">
        <w:rPr>
          <w:sz w:val="26"/>
          <w:szCs w:val="26"/>
        </w:rPr>
        <w:t>забезпечення повернення авансових</w:t>
      </w:r>
      <w:r w:rsidR="00FF6350" w:rsidRPr="00522B93">
        <w:rPr>
          <w:sz w:val="26"/>
          <w:szCs w:val="26"/>
        </w:rPr>
        <w:t xml:space="preserve"> платеж</w:t>
      </w:r>
      <w:r w:rsidR="00B83DFC">
        <w:rPr>
          <w:sz w:val="26"/>
          <w:szCs w:val="26"/>
        </w:rPr>
        <w:t>ів</w:t>
      </w:r>
      <w:r w:rsidR="00741B24" w:rsidRPr="00522B93">
        <w:rPr>
          <w:sz w:val="26"/>
          <w:szCs w:val="26"/>
        </w:rPr>
        <w:t xml:space="preserve"> (далі</w:t>
      </w:r>
      <w:r w:rsidR="0041142C" w:rsidRPr="00522B93">
        <w:rPr>
          <w:sz w:val="26"/>
          <w:szCs w:val="26"/>
        </w:rPr>
        <w:t xml:space="preserve"> – </w:t>
      </w:r>
      <w:r w:rsidR="00741B24" w:rsidRPr="00522B93">
        <w:rPr>
          <w:sz w:val="26"/>
          <w:szCs w:val="26"/>
        </w:rPr>
        <w:t>Перелік)</w:t>
      </w:r>
      <w:r w:rsidRPr="00522B93">
        <w:rPr>
          <w:sz w:val="26"/>
          <w:szCs w:val="26"/>
        </w:rPr>
        <w:t xml:space="preserve"> </w:t>
      </w:r>
      <w:r w:rsidR="00D326EE" w:rsidRPr="00522B93">
        <w:rPr>
          <w:sz w:val="26"/>
          <w:szCs w:val="26"/>
        </w:rPr>
        <w:t xml:space="preserve">розміщується та перебуває в постійному відкритому доступі на офіційному </w:t>
      </w:r>
      <w:r w:rsidR="00B83DFC">
        <w:rPr>
          <w:sz w:val="26"/>
          <w:szCs w:val="26"/>
        </w:rPr>
        <w:t>веб-</w:t>
      </w:r>
      <w:r w:rsidR="00D326EE" w:rsidRPr="00522B93">
        <w:rPr>
          <w:sz w:val="26"/>
          <w:szCs w:val="26"/>
        </w:rPr>
        <w:t xml:space="preserve">сайті </w:t>
      </w:r>
      <w:r w:rsidR="0069117A" w:rsidRPr="00522B93">
        <w:rPr>
          <w:sz w:val="26"/>
          <w:szCs w:val="26"/>
        </w:rPr>
        <w:t>АТ</w:t>
      </w:r>
      <w:r w:rsidR="00D326EE" w:rsidRPr="00522B93">
        <w:rPr>
          <w:sz w:val="26"/>
          <w:szCs w:val="26"/>
        </w:rPr>
        <w:t xml:space="preserve"> «НАЕК «Енергоатом» </w:t>
      </w:r>
      <w:r w:rsidR="00E074ED" w:rsidRPr="00522B93">
        <w:rPr>
          <w:sz w:val="26"/>
          <w:szCs w:val="26"/>
        </w:rPr>
        <w:t>(розділ «</w:t>
      </w:r>
      <w:r w:rsidR="0069117A" w:rsidRPr="00522B93">
        <w:rPr>
          <w:sz w:val="26"/>
          <w:szCs w:val="26"/>
        </w:rPr>
        <w:t>Закупівлі</w:t>
      </w:r>
      <w:r w:rsidR="00E074ED" w:rsidRPr="00522B93">
        <w:rPr>
          <w:sz w:val="26"/>
          <w:szCs w:val="26"/>
        </w:rPr>
        <w:t>»</w:t>
      </w:r>
      <w:r w:rsidR="00FE2D3A" w:rsidRPr="00522B93">
        <w:rPr>
          <w:sz w:val="26"/>
          <w:szCs w:val="26"/>
        </w:rPr>
        <w:t xml:space="preserve"> </w:t>
      </w:r>
      <w:r w:rsidR="00BC2BF7" w:rsidRPr="00522B93">
        <w:rPr>
          <w:sz w:val="26"/>
          <w:szCs w:val="26"/>
        </w:rPr>
        <w:t>–</w:t>
      </w:r>
      <w:r w:rsidR="00FE2D3A" w:rsidRPr="00522B93">
        <w:rPr>
          <w:sz w:val="26"/>
          <w:szCs w:val="26"/>
        </w:rPr>
        <w:t xml:space="preserve"> </w:t>
      </w:r>
      <w:r w:rsidR="000C2401" w:rsidRPr="00522B93">
        <w:rPr>
          <w:sz w:val="26"/>
          <w:szCs w:val="26"/>
        </w:rPr>
        <w:t>під</w:t>
      </w:r>
      <w:r w:rsidR="00D326EE" w:rsidRPr="00522B93">
        <w:rPr>
          <w:sz w:val="26"/>
          <w:szCs w:val="26"/>
        </w:rPr>
        <w:t>розділ «</w:t>
      </w:r>
      <w:r w:rsidR="0069117A" w:rsidRPr="00522B93">
        <w:rPr>
          <w:sz w:val="26"/>
          <w:szCs w:val="26"/>
        </w:rPr>
        <w:t>Інформація для учасників</w:t>
      </w:r>
      <w:r w:rsidR="00D326EE" w:rsidRPr="00522B93">
        <w:rPr>
          <w:sz w:val="26"/>
          <w:szCs w:val="26"/>
        </w:rPr>
        <w:t>»</w:t>
      </w:r>
      <w:r w:rsidR="00E074ED" w:rsidRPr="00522B93">
        <w:rPr>
          <w:sz w:val="26"/>
          <w:szCs w:val="26"/>
        </w:rPr>
        <w:t>).</w:t>
      </w:r>
      <w:r w:rsidR="00D326EE" w:rsidRPr="00522B93">
        <w:rPr>
          <w:sz w:val="26"/>
          <w:szCs w:val="26"/>
        </w:rPr>
        <w:t xml:space="preserve"> </w:t>
      </w:r>
    </w:p>
    <w:p w14:paraId="79DBF465" w14:textId="122B45AD" w:rsidR="00522B93" w:rsidRDefault="00E309C1" w:rsidP="00522B93">
      <w:pPr>
        <w:pStyle w:val="a4"/>
        <w:numPr>
          <w:ilvl w:val="1"/>
          <w:numId w:val="8"/>
        </w:numPr>
        <w:spacing w:after="120"/>
        <w:jc w:val="both"/>
        <w:rPr>
          <w:sz w:val="26"/>
          <w:szCs w:val="26"/>
        </w:rPr>
      </w:pPr>
      <w:r w:rsidRPr="00522B93">
        <w:rPr>
          <w:sz w:val="26"/>
          <w:szCs w:val="26"/>
        </w:rPr>
        <w:t>У разі</w:t>
      </w:r>
      <w:r w:rsidR="00B83DFC">
        <w:rPr>
          <w:sz w:val="26"/>
          <w:szCs w:val="26"/>
        </w:rPr>
        <w:t>,</w:t>
      </w:r>
      <w:r w:rsidRPr="00522B93">
        <w:rPr>
          <w:sz w:val="26"/>
          <w:szCs w:val="26"/>
        </w:rPr>
        <w:t xml:space="preserve"> якщо до законодавства України будуть внесені зміни, які стосуватимуться питань, врегульованих цим Порядком, до моменту внесення відповідних змін до Порядку необхідно керуватися вимогами чинного законодавства України.</w:t>
      </w:r>
    </w:p>
    <w:p w14:paraId="776D992B" w14:textId="4FF60569" w:rsidR="001A0839" w:rsidRPr="00522B93" w:rsidRDefault="001A0839" w:rsidP="00522B93">
      <w:pPr>
        <w:pStyle w:val="a4"/>
        <w:numPr>
          <w:ilvl w:val="1"/>
          <w:numId w:val="8"/>
        </w:numPr>
        <w:spacing w:after="120"/>
        <w:jc w:val="both"/>
        <w:rPr>
          <w:sz w:val="26"/>
          <w:szCs w:val="26"/>
        </w:rPr>
      </w:pPr>
      <w:r w:rsidRPr="00522B93">
        <w:rPr>
          <w:sz w:val="26"/>
          <w:szCs w:val="26"/>
        </w:rPr>
        <w:t>Цей Порядок також застосовується під час подання учасниками забе</w:t>
      </w:r>
      <w:r w:rsidR="00522B93">
        <w:rPr>
          <w:sz w:val="26"/>
          <w:szCs w:val="26"/>
        </w:rPr>
        <w:t>зпечення пропозиції для участі в</w:t>
      </w:r>
      <w:r w:rsidRPr="00522B93">
        <w:rPr>
          <w:sz w:val="26"/>
          <w:szCs w:val="26"/>
        </w:rPr>
        <w:t xml:space="preserve"> спрощеній закупівлі.</w:t>
      </w:r>
    </w:p>
    <w:p w14:paraId="4299F331" w14:textId="77777777" w:rsidR="00166F22" w:rsidRPr="00FF6350" w:rsidRDefault="00166F22" w:rsidP="000504EB">
      <w:pPr>
        <w:pStyle w:val="a4"/>
        <w:spacing w:after="120"/>
        <w:ind w:left="567" w:hanging="567"/>
        <w:jc w:val="both"/>
        <w:rPr>
          <w:sz w:val="26"/>
          <w:szCs w:val="26"/>
        </w:rPr>
      </w:pPr>
    </w:p>
    <w:p w14:paraId="27138049" w14:textId="2C3A644A" w:rsidR="00166F22" w:rsidRPr="00FF6350" w:rsidRDefault="002C0E29" w:rsidP="00522B93">
      <w:pPr>
        <w:pStyle w:val="a4"/>
        <w:numPr>
          <w:ilvl w:val="0"/>
          <w:numId w:val="6"/>
        </w:numPr>
        <w:spacing w:after="120"/>
        <w:ind w:left="709" w:hanging="709"/>
        <w:jc w:val="both"/>
        <w:rPr>
          <w:b/>
          <w:i/>
          <w:sz w:val="26"/>
          <w:szCs w:val="26"/>
        </w:rPr>
      </w:pPr>
      <w:r w:rsidRPr="00FF6350">
        <w:rPr>
          <w:b/>
          <w:i/>
          <w:sz w:val="26"/>
          <w:szCs w:val="26"/>
        </w:rPr>
        <w:t xml:space="preserve">Механізм </w:t>
      </w:r>
      <w:r w:rsidR="0041142C" w:rsidRPr="00FF6350">
        <w:rPr>
          <w:b/>
          <w:i/>
          <w:sz w:val="26"/>
          <w:szCs w:val="26"/>
        </w:rPr>
        <w:t>формування П</w:t>
      </w:r>
      <w:r w:rsidR="00616ED0" w:rsidRPr="00FF6350">
        <w:rPr>
          <w:b/>
          <w:i/>
          <w:sz w:val="26"/>
          <w:szCs w:val="26"/>
        </w:rPr>
        <w:t>ереліку</w:t>
      </w:r>
      <w:r w:rsidR="00166F22" w:rsidRPr="00FF6350">
        <w:rPr>
          <w:b/>
          <w:i/>
          <w:sz w:val="26"/>
          <w:szCs w:val="26"/>
        </w:rPr>
        <w:t xml:space="preserve"> страхових компаній </w:t>
      </w:r>
    </w:p>
    <w:p w14:paraId="18549937" w14:textId="79B5825C" w:rsidR="00522B93" w:rsidRPr="00522B93" w:rsidRDefault="00EF321A" w:rsidP="00522B93">
      <w:pPr>
        <w:pStyle w:val="a4"/>
        <w:numPr>
          <w:ilvl w:val="1"/>
          <w:numId w:val="9"/>
        </w:numPr>
        <w:spacing w:after="120"/>
        <w:jc w:val="both"/>
        <w:rPr>
          <w:sz w:val="26"/>
          <w:szCs w:val="26"/>
        </w:rPr>
      </w:pPr>
      <w:r w:rsidRPr="00522B93">
        <w:rPr>
          <w:rFonts w:eastAsiaTheme="minorHAnsi"/>
          <w:sz w:val="26"/>
          <w:szCs w:val="26"/>
          <w:lang w:eastAsia="en-US"/>
        </w:rPr>
        <w:t>Перелік формується з</w:t>
      </w:r>
      <w:r w:rsidR="0041142C" w:rsidRPr="00522B93">
        <w:rPr>
          <w:rFonts w:eastAsiaTheme="minorHAnsi"/>
          <w:sz w:val="26"/>
          <w:szCs w:val="26"/>
          <w:lang w:eastAsia="en-US"/>
        </w:rPr>
        <w:t>і</w:t>
      </w:r>
      <w:r w:rsidRPr="00522B93">
        <w:rPr>
          <w:rFonts w:eastAsiaTheme="minorHAnsi"/>
          <w:sz w:val="26"/>
          <w:szCs w:val="26"/>
          <w:lang w:eastAsia="en-US"/>
        </w:rPr>
        <w:t xml:space="preserve"> страхових компаній, які відповідають вимогам, зазначеним </w:t>
      </w:r>
      <w:r w:rsidR="0041142C" w:rsidRPr="00522B93">
        <w:rPr>
          <w:rFonts w:eastAsiaTheme="minorHAnsi"/>
          <w:sz w:val="26"/>
          <w:szCs w:val="26"/>
          <w:lang w:eastAsia="en-US"/>
        </w:rPr>
        <w:t>у</w:t>
      </w:r>
      <w:r w:rsidR="00B83DFC">
        <w:rPr>
          <w:rFonts w:eastAsiaTheme="minorHAnsi"/>
          <w:sz w:val="26"/>
          <w:szCs w:val="26"/>
          <w:lang w:eastAsia="en-US"/>
        </w:rPr>
        <w:t xml:space="preserve"> п. 3 Порядку, що підтверджені</w:t>
      </w:r>
      <w:r w:rsidRPr="00522B93">
        <w:rPr>
          <w:rFonts w:eastAsiaTheme="minorHAnsi"/>
          <w:sz w:val="26"/>
          <w:szCs w:val="26"/>
          <w:lang w:eastAsia="en-US"/>
        </w:rPr>
        <w:t xml:space="preserve"> документами відповідно до п. 4 Порядку.</w:t>
      </w:r>
    </w:p>
    <w:p w14:paraId="12D7CC08" w14:textId="695E12B9" w:rsidR="00522B93" w:rsidRDefault="00EF321A" w:rsidP="00522B93">
      <w:pPr>
        <w:pStyle w:val="a4"/>
        <w:numPr>
          <w:ilvl w:val="1"/>
          <w:numId w:val="9"/>
        </w:numPr>
        <w:spacing w:after="120"/>
        <w:jc w:val="both"/>
        <w:rPr>
          <w:sz w:val="26"/>
          <w:szCs w:val="26"/>
        </w:rPr>
      </w:pPr>
      <w:r w:rsidRPr="00522B93">
        <w:rPr>
          <w:sz w:val="26"/>
          <w:szCs w:val="26"/>
        </w:rPr>
        <w:t>Для включення до Переліку страхова компанія письмово</w:t>
      </w:r>
      <w:r w:rsidR="00FF6350" w:rsidRPr="00522B93">
        <w:rPr>
          <w:sz w:val="26"/>
          <w:szCs w:val="26"/>
        </w:rPr>
        <w:t xml:space="preserve">/електронною поштою </w:t>
      </w:r>
      <w:r w:rsidR="00FF6350" w:rsidRPr="00522B93">
        <w:rPr>
          <w:sz w:val="26"/>
          <w:szCs w:val="26"/>
        </w:rPr>
        <w:br/>
        <w:t>(з обов’язковим накладанням</w:t>
      </w:r>
      <w:r w:rsidR="00637977" w:rsidRPr="00522B93">
        <w:rPr>
          <w:sz w:val="26"/>
          <w:szCs w:val="26"/>
        </w:rPr>
        <w:t xml:space="preserve"> кваліфікованого</w:t>
      </w:r>
      <w:r w:rsidR="00FF6350" w:rsidRPr="00522B93">
        <w:rPr>
          <w:sz w:val="26"/>
          <w:szCs w:val="26"/>
        </w:rPr>
        <w:t xml:space="preserve"> електронного підпису уповноваженої особи страхової компанії відпові</w:t>
      </w:r>
      <w:r w:rsidR="00B83DFC">
        <w:rPr>
          <w:sz w:val="26"/>
          <w:szCs w:val="26"/>
        </w:rPr>
        <w:t>дно до з</w:t>
      </w:r>
      <w:r w:rsidR="00FF6350" w:rsidRPr="00522B93">
        <w:rPr>
          <w:sz w:val="26"/>
          <w:szCs w:val="26"/>
        </w:rPr>
        <w:t>акон</w:t>
      </w:r>
      <w:r w:rsidR="00B83DFC">
        <w:rPr>
          <w:sz w:val="26"/>
          <w:szCs w:val="26"/>
        </w:rPr>
        <w:t>ів</w:t>
      </w:r>
      <w:r w:rsidR="00FF6350" w:rsidRPr="00522B93">
        <w:rPr>
          <w:sz w:val="26"/>
          <w:szCs w:val="26"/>
        </w:rPr>
        <w:t xml:space="preserve"> України «Про електронні документи та електронний документообіг» і «Про електронні довірчі </w:t>
      </w:r>
      <w:r w:rsidR="00FF6350" w:rsidRPr="00522B93">
        <w:rPr>
          <w:sz w:val="26"/>
          <w:szCs w:val="26"/>
        </w:rPr>
        <w:lastRenderedPageBreak/>
        <w:t>послуги»</w:t>
      </w:r>
      <w:r w:rsidR="00637977" w:rsidRPr="00522B93">
        <w:rPr>
          <w:sz w:val="26"/>
          <w:szCs w:val="26"/>
          <w:lang w:val="ru-RU"/>
        </w:rPr>
        <w:t xml:space="preserve"> (</w:t>
      </w:r>
      <w:proofErr w:type="spellStart"/>
      <w:r w:rsidR="00637977" w:rsidRPr="00522B93">
        <w:rPr>
          <w:sz w:val="26"/>
          <w:szCs w:val="26"/>
          <w:lang w:val="ru-RU"/>
        </w:rPr>
        <w:t>далі</w:t>
      </w:r>
      <w:proofErr w:type="spellEnd"/>
      <w:r w:rsidR="00637977" w:rsidRPr="00522B93">
        <w:rPr>
          <w:sz w:val="26"/>
          <w:szCs w:val="26"/>
          <w:lang w:val="ru-RU"/>
        </w:rPr>
        <w:t xml:space="preserve"> – КЕП</w:t>
      </w:r>
      <w:r w:rsidR="00FF6350" w:rsidRPr="00522B93">
        <w:rPr>
          <w:sz w:val="26"/>
          <w:szCs w:val="26"/>
        </w:rPr>
        <w:t xml:space="preserve">) </w:t>
      </w:r>
      <w:r w:rsidRPr="00522B93">
        <w:rPr>
          <w:sz w:val="26"/>
          <w:szCs w:val="26"/>
        </w:rPr>
        <w:t xml:space="preserve">направляє на адресу </w:t>
      </w:r>
      <w:r w:rsidR="00303433" w:rsidRPr="00522B93">
        <w:rPr>
          <w:sz w:val="26"/>
          <w:szCs w:val="26"/>
        </w:rPr>
        <w:t>АТ</w:t>
      </w:r>
      <w:r w:rsidRPr="00522B93">
        <w:rPr>
          <w:sz w:val="26"/>
          <w:szCs w:val="26"/>
        </w:rPr>
        <w:t xml:space="preserve"> «НАЕК «Енергоатом» лист із </w:t>
      </w:r>
      <w:r w:rsidR="009C7FE4" w:rsidRPr="00522B93">
        <w:rPr>
          <w:sz w:val="26"/>
          <w:szCs w:val="26"/>
        </w:rPr>
        <w:t>документами</w:t>
      </w:r>
      <w:r w:rsidRPr="00522B93">
        <w:rPr>
          <w:sz w:val="26"/>
          <w:szCs w:val="26"/>
        </w:rPr>
        <w:t>,</w:t>
      </w:r>
      <w:r w:rsidR="009C7FE4" w:rsidRPr="00522B93">
        <w:rPr>
          <w:sz w:val="26"/>
          <w:szCs w:val="26"/>
        </w:rPr>
        <w:t xml:space="preserve"> перелік яких </w:t>
      </w:r>
      <w:r w:rsidRPr="00522B93">
        <w:rPr>
          <w:sz w:val="26"/>
          <w:szCs w:val="26"/>
        </w:rPr>
        <w:t xml:space="preserve"> </w:t>
      </w:r>
      <w:r w:rsidR="009C7FE4" w:rsidRPr="00522B93">
        <w:rPr>
          <w:sz w:val="26"/>
          <w:szCs w:val="26"/>
        </w:rPr>
        <w:t xml:space="preserve">зазначений в </w:t>
      </w:r>
      <w:r w:rsidRPr="00522B93">
        <w:rPr>
          <w:sz w:val="26"/>
          <w:szCs w:val="26"/>
        </w:rPr>
        <w:t xml:space="preserve">п. 4 цього Порядку. </w:t>
      </w:r>
    </w:p>
    <w:p w14:paraId="07430D2C" w14:textId="120BEC1C" w:rsidR="00522B93" w:rsidRPr="00522B93" w:rsidRDefault="00EF321A" w:rsidP="00522B93">
      <w:pPr>
        <w:pStyle w:val="a4"/>
        <w:numPr>
          <w:ilvl w:val="1"/>
          <w:numId w:val="9"/>
        </w:numPr>
        <w:spacing w:after="120"/>
        <w:jc w:val="both"/>
        <w:rPr>
          <w:sz w:val="26"/>
          <w:szCs w:val="26"/>
        </w:rPr>
      </w:pPr>
      <w:r w:rsidRPr="00522B93">
        <w:rPr>
          <w:sz w:val="26"/>
          <w:szCs w:val="26"/>
        </w:rPr>
        <w:t>Аналіз пакет</w:t>
      </w:r>
      <w:r w:rsidR="0041142C" w:rsidRPr="00522B93">
        <w:rPr>
          <w:sz w:val="26"/>
          <w:szCs w:val="26"/>
        </w:rPr>
        <w:t>а</w:t>
      </w:r>
      <w:r w:rsidRPr="00522B93">
        <w:rPr>
          <w:sz w:val="26"/>
          <w:szCs w:val="26"/>
        </w:rPr>
        <w:t xml:space="preserve"> документів</w:t>
      </w:r>
      <w:r w:rsidR="0041142C" w:rsidRPr="00522B93">
        <w:rPr>
          <w:sz w:val="26"/>
          <w:szCs w:val="26"/>
        </w:rPr>
        <w:t>,</w:t>
      </w:r>
      <w:r w:rsidRPr="00522B93">
        <w:rPr>
          <w:sz w:val="26"/>
          <w:szCs w:val="26"/>
        </w:rPr>
        <w:t xml:space="preserve"> поданих відповідно до п. 2.2</w:t>
      </w:r>
      <w:r w:rsidR="0041142C" w:rsidRPr="00522B93">
        <w:rPr>
          <w:sz w:val="26"/>
          <w:szCs w:val="26"/>
        </w:rPr>
        <w:t>,</w:t>
      </w:r>
      <w:r w:rsidRPr="00522B93">
        <w:rPr>
          <w:sz w:val="26"/>
          <w:szCs w:val="26"/>
        </w:rPr>
        <w:t xml:space="preserve"> </w:t>
      </w:r>
      <w:r w:rsidR="00B83DFC">
        <w:rPr>
          <w:sz w:val="26"/>
          <w:szCs w:val="26"/>
        </w:rPr>
        <w:t>а також ф</w:t>
      </w:r>
      <w:r w:rsidR="00B83DFC" w:rsidRPr="00522B93">
        <w:rPr>
          <w:sz w:val="26"/>
          <w:szCs w:val="26"/>
        </w:rPr>
        <w:t xml:space="preserve">ормування та ведення Переліку </w:t>
      </w:r>
      <w:r w:rsidR="00A97213" w:rsidRPr="00522B93">
        <w:rPr>
          <w:sz w:val="26"/>
          <w:szCs w:val="26"/>
        </w:rPr>
        <w:t>здійснюється виконавчою дирекцією з правового забезпечення (далі – ВДПЗ)</w:t>
      </w:r>
      <w:r w:rsidR="00166F22" w:rsidRPr="00522B93">
        <w:rPr>
          <w:sz w:val="26"/>
          <w:szCs w:val="26"/>
        </w:rPr>
        <w:t>.</w:t>
      </w:r>
      <w:r w:rsidR="00166F22" w:rsidRPr="00522B93">
        <w:rPr>
          <w:rFonts w:eastAsiaTheme="minorHAnsi"/>
          <w:sz w:val="26"/>
          <w:szCs w:val="26"/>
          <w:lang w:eastAsia="en-US"/>
        </w:rPr>
        <w:t xml:space="preserve"> </w:t>
      </w:r>
    </w:p>
    <w:p w14:paraId="3944E6A2" w14:textId="69324141" w:rsidR="00522B93" w:rsidRDefault="0051236D" w:rsidP="00522B93">
      <w:pPr>
        <w:pStyle w:val="a4"/>
        <w:numPr>
          <w:ilvl w:val="1"/>
          <w:numId w:val="9"/>
        </w:numPr>
        <w:spacing w:after="120"/>
        <w:jc w:val="both"/>
        <w:rPr>
          <w:sz w:val="26"/>
          <w:szCs w:val="26"/>
        </w:rPr>
      </w:pPr>
      <w:r w:rsidRPr="00522B93">
        <w:rPr>
          <w:sz w:val="26"/>
          <w:szCs w:val="26"/>
        </w:rPr>
        <w:t>Страхова компанія, яка відповідає вимогам п.</w:t>
      </w:r>
      <w:r w:rsidR="008301AC" w:rsidRPr="00522B93">
        <w:rPr>
          <w:sz w:val="26"/>
          <w:szCs w:val="26"/>
        </w:rPr>
        <w:t xml:space="preserve"> </w:t>
      </w:r>
      <w:r w:rsidRPr="00522B93">
        <w:rPr>
          <w:sz w:val="26"/>
          <w:szCs w:val="26"/>
        </w:rPr>
        <w:t>3 Порядку</w:t>
      </w:r>
      <w:r w:rsidR="00763CBE" w:rsidRPr="00522B93">
        <w:rPr>
          <w:sz w:val="26"/>
          <w:szCs w:val="26"/>
        </w:rPr>
        <w:t>,</w:t>
      </w:r>
      <w:r w:rsidRPr="00522B93">
        <w:rPr>
          <w:sz w:val="26"/>
          <w:szCs w:val="26"/>
        </w:rPr>
        <w:t xml:space="preserve"> включається до </w:t>
      </w:r>
      <w:r w:rsidR="008301AC" w:rsidRPr="00522B93">
        <w:rPr>
          <w:sz w:val="26"/>
          <w:szCs w:val="26"/>
        </w:rPr>
        <w:t>П</w:t>
      </w:r>
      <w:r w:rsidRPr="00522B93">
        <w:rPr>
          <w:sz w:val="26"/>
          <w:szCs w:val="26"/>
        </w:rPr>
        <w:t>ереліку</w:t>
      </w:r>
      <w:r w:rsidR="00763CBE" w:rsidRPr="00522B93">
        <w:rPr>
          <w:sz w:val="26"/>
          <w:szCs w:val="26"/>
        </w:rPr>
        <w:t>,</w:t>
      </w:r>
      <w:r w:rsidRPr="00522B93">
        <w:rPr>
          <w:sz w:val="26"/>
          <w:szCs w:val="26"/>
        </w:rPr>
        <w:t xml:space="preserve"> про що ВДПЗ повідомляє </w:t>
      </w:r>
      <w:r w:rsidR="006B2AC4" w:rsidRPr="00522B93">
        <w:rPr>
          <w:sz w:val="26"/>
          <w:szCs w:val="26"/>
        </w:rPr>
        <w:t>страхову компанію</w:t>
      </w:r>
      <w:r w:rsidR="006B2AC4">
        <w:rPr>
          <w:sz w:val="26"/>
          <w:szCs w:val="26"/>
        </w:rPr>
        <w:t>, а також</w:t>
      </w:r>
      <w:r w:rsidR="006B2AC4" w:rsidRPr="00522B93">
        <w:rPr>
          <w:sz w:val="26"/>
          <w:szCs w:val="26"/>
        </w:rPr>
        <w:t xml:space="preserve"> </w:t>
      </w:r>
      <w:r w:rsidR="008301AC" w:rsidRPr="00522B93">
        <w:rPr>
          <w:sz w:val="26"/>
          <w:szCs w:val="26"/>
        </w:rPr>
        <w:t xml:space="preserve">структурний підрозділ, що </w:t>
      </w:r>
      <w:r w:rsidR="00763CBE" w:rsidRPr="00522B93">
        <w:rPr>
          <w:sz w:val="26"/>
          <w:szCs w:val="26"/>
        </w:rPr>
        <w:t xml:space="preserve">супроводжує та </w:t>
      </w:r>
      <w:r w:rsidR="008301AC" w:rsidRPr="00522B93">
        <w:rPr>
          <w:sz w:val="26"/>
          <w:szCs w:val="26"/>
        </w:rPr>
        <w:t xml:space="preserve">веде </w:t>
      </w:r>
      <w:r w:rsidR="00763CBE" w:rsidRPr="00522B93">
        <w:rPr>
          <w:sz w:val="26"/>
          <w:szCs w:val="26"/>
        </w:rPr>
        <w:t xml:space="preserve">офіційний веб-сайт </w:t>
      </w:r>
      <w:r w:rsidR="004A2C06" w:rsidRPr="00522B93">
        <w:rPr>
          <w:sz w:val="26"/>
          <w:szCs w:val="26"/>
        </w:rPr>
        <w:t>АТ</w:t>
      </w:r>
      <w:r w:rsidR="00763CBE" w:rsidRPr="00522B93">
        <w:rPr>
          <w:sz w:val="26"/>
          <w:szCs w:val="26"/>
        </w:rPr>
        <w:t xml:space="preserve"> «НАЕК «Енергоатом»,</w:t>
      </w:r>
      <w:r w:rsidRPr="00522B93">
        <w:rPr>
          <w:sz w:val="26"/>
          <w:szCs w:val="26"/>
        </w:rPr>
        <w:t xml:space="preserve"> для розміщення на </w:t>
      </w:r>
      <w:r w:rsidR="006B2AC4">
        <w:rPr>
          <w:sz w:val="26"/>
          <w:szCs w:val="26"/>
        </w:rPr>
        <w:t>ньому</w:t>
      </w:r>
      <w:r w:rsidRPr="00522B93">
        <w:rPr>
          <w:sz w:val="26"/>
          <w:szCs w:val="26"/>
        </w:rPr>
        <w:t xml:space="preserve"> (</w:t>
      </w:r>
      <w:r w:rsidR="004A2C06" w:rsidRPr="00522B93">
        <w:rPr>
          <w:sz w:val="26"/>
          <w:szCs w:val="26"/>
        </w:rPr>
        <w:t>розділ «Закупівлі» – підрозділ «Інформація для учасників»</w:t>
      </w:r>
      <w:r w:rsidRPr="00522B93">
        <w:rPr>
          <w:sz w:val="26"/>
          <w:szCs w:val="26"/>
        </w:rPr>
        <w:t>)</w:t>
      </w:r>
      <w:r w:rsidR="006B2AC4">
        <w:rPr>
          <w:sz w:val="26"/>
          <w:szCs w:val="26"/>
        </w:rPr>
        <w:t xml:space="preserve"> такої інформації</w:t>
      </w:r>
      <w:r w:rsidRPr="00522B93">
        <w:rPr>
          <w:sz w:val="26"/>
          <w:szCs w:val="26"/>
        </w:rPr>
        <w:t>.</w:t>
      </w:r>
    </w:p>
    <w:p w14:paraId="732E430E" w14:textId="46E36C2B" w:rsidR="00522B93" w:rsidRPr="006C0B34" w:rsidRDefault="007F6819" w:rsidP="006C0B34">
      <w:pPr>
        <w:pStyle w:val="a4"/>
        <w:numPr>
          <w:ilvl w:val="1"/>
          <w:numId w:val="9"/>
        </w:numPr>
        <w:spacing w:after="120"/>
        <w:jc w:val="both"/>
        <w:rPr>
          <w:sz w:val="26"/>
          <w:szCs w:val="26"/>
        </w:rPr>
      </w:pPr>
      <w:r w:rsidRPr="00522B93">
        <w:rPr>
          <w:sz w:val="26"/>
          <w:szCs w:val="26"/>
        </w:rPr>
        <w:t>Страхова</w:t>
      </w:r>
      <w:r w:rsidR="00166F22" w:rsidRPr="00522B93">
        <w:rPr>
          <w:sz w:val="26"/>
          <w:szCs w:val="26"/>
        </w:rPr>
        <w:t xml:space="preserve"> компані</w:t>
      </w:r>
      <w:r w:rsidRPr="00522B93">
        <w:rPr>
          <w:sz w:val="26"/>
          <w:szCs w:val="26"/>
        </w:rPr>
        <w:t>я</w:t>
      </w:r>
      <w:r w:rsidR="00166F22" w:rsidRPr="00522B93">
        <w:rPr>
          <w:sz w:val="26"/>
          <w:szCs w:val="26"/>
        </w:rPr>
        <w:t xml:space="preserve">, що не відповідає вимогам п. </w:t>
      </w:r>
      <w:r w:rsidR="000A68C6" w:rsidRPr="00522B93">
        <w:rPr>
          <w:sz w:val="26"/>
          <w:szCs w:val="26"/>
        </w:rPr>
        <w:t>3</w:t>
      </w:r>
      <w:r w:rsidR="00A14FDB" w:rsidRPr="00522B93">
        <w:rPr>
          <w:sz w:val="26"/>
          <w:szCs w:val="26"/>
        </w:rPr>
        <w:t xml:space="preserve"> Порядку</w:t>
      </w:r>
      <w:r w:rsidR="00166F22" w:rsidRPr="00522B93">
        <w:rPr>
          <w:sz w:val="26"/>
          <w:szCs w:val="26"/>
        </w:rPr>
        <w:t xml:space="preserve"> та</w:t>
      </w:r>
      <w:r w:rsidRPr="00522B93">
        <w:rPr>
          <w:sz w:val="26"/>
          <w:szCs w:val="26"/>
        </w:rPr>
        <w:t>/або</w:t>
      </w:r>
      <w:r w:rsidR="00166F22" w:rsidRPr="00522B93">
        <w:rPr>
          <w:sz w:val="26"/>
          <w:szCs w:val="26"/>
        </w:rPr>
        <w:t xml:space="preserve"> не надала документи</w:t>
      </w:r>
      <w:r w:rsidR="0041142C" w:rsidRPr="00522B93">
        <w:rPr>
          <w:sz w:val="26"/>
          <w:szCs w:val="26"/>
        </w:rPr>
        <w:t>,</w:t>
      </w:r>
      <w:r w:rsidR="00166F22" w:rsidRPr="00522B93">
        <w:rPr>
          <w:sz w:val="26"/>
          <w:szCs w:val="26"/>
        </w:rPr>
        <w:t xml:space="preserve"> </w:t>
      </w:r>
      <w:r w:rsidR="00125FD9" w:rsidRPr="00522B93">
        <w:rPr>
          <w:sz w:val="26"/>
          <w:szCs w:val="26"/>
        </w:rPr>
        <w:t xml:space="preserve">передбачені </w:t>
      </w:r>
      <w:r w:rsidR="00166F22" w:rsidRPr="00522B93">
        <w:rPr>
          <w:sz w:val="26"/>
          <w:szCs w:val="26"/>
        </w:rPr>
        <w:t xml:space="preserve">п. </w:t>
      </w:r>
      <w:r w:rsidR="000A68C6" w:rsidRPr="00522B93">
        <w:rPr>
          <w:sz w:val="26"/>
          <w:szCs w:val="26"/>
        </w:rPr>
        <w:t>4</w:t>
      </w:r>
      <w:r w:rsidR="00166F22" w:rsidRPr="00522B93">
        <w:rPr>
          <w:sz w:val="26"/>
          <w:szCs w:val="26"/>
        </w:rPr>
        <w:t xml:space="preserve"> цього Порядку, </w:t>
      </w:r>
      <w:r w:rsidR="002C0E29" w:rsidRPr="00522B93">
        <w:rPr>
          <w:sz w:val="26"/>
          <w:szCs w:val="26"/>
        </w:rPr>
        <w:t xml:space="preserve">не включається до </w:t>
      </w:r>
      <w:r w:rsidR="00763CBE" w:rsidRPr="00522B93">
        <w:rPr>
          <w:sz w:val="26"/>
          <w:szCs w:val="26"/>
        </w:rPr>
        <w:t>П</w:t>
      </w:r>
      <w:r w:rsidR="002C0E29" w:rsidRPr="00522B93">
        <w:rPr>
          <w:sz w:val="26"/>
          <w:szCs w:val="26"/>
        </w:rPr>
        <w:t>ереліку</w:t>
      </w:r>
      <w:r w:rsidRPr="00522B93">
        <w:rPr>
          <w:sz w:val="26"/>
          <w:szCs w:val="26"/>
        </w:rPr>
        <w:t>, про що на її адресу направляється відповідне повідомлення</w:t>
      </w:r>
      <w:r w:rsidR="00166F22" w:rsidRPr="00522B93">
        <w:rPr>
          <w:sz w:val="26"/>
          <w:szCs w:val="26"/>
        </w:rPr>
        <w:t>. При цьому страхова компанія не позбавляється можливості повторно направити необхідні до</w:t>
      </w:r>
      <w:r w:rsidR="002C0E29" w:rsidRPr="00522B93">
        <w:rPr>
          <w:sz w:val="26"/>
          <w:szCs w:val="26"/>
        </w:rPr>
        <w:t>кументи</w:t>
      </w:r>
      <w:r w:rsidR="00166F22" w:rsidRPr="00522B93">
        <w:rPr>
          <w:sz w:val="26"/>
          <w:szCs w:val="26"/>
        </w:rPr>
        <w:t>.</w:t>
      </w:r>
    </w:p>
    <w:p w14:paraId="0F029505" w14:textId="375C8384" w:rsidR="007F6819" w:rsidRPr="00522B93" w:rsidRDefault="00A97213" w:rsidP="00522B93">
      <w:pPr>
        <w:pStyle w:val="a4"/>
        <w:numPr>
          <w:ilvl w:val="1"/>
          <w:numId w:val="9"/>
        </w:numPr>
        <w:spacing w:after="120"/>
        <w:jc w:val="both"/>
        <w:rPr>
          <w:sz w:val="26"/>
          <w:szCs w:val="26"/>
        </w:rPr>
      </w:pPr>
      <w:r w:rsidRPr="00522B93">
        <w:rPr>
          <w:sz w:val="26"/>
          <w:szCs w:val="26"/>
        </w:rPr>
        <w:t>Страхові компанії, що включені до Переліку</w:t>
      </w:r>
      <w:r w:rsidR="00CC7C2B" w:rsidRPr="00522B93">
        <w:rPr>
          <w:sz w:val="26"/>
          <w:szCs w:val="26"/>
        </w:rPr>
        <w:t>,</w:t>
      </w:r>
      <w:r w:rsidRPr="00522B93">
        <w:rPr>
          <w:sz w:val="26"/>
          <w:szCs w:val="26"/>
        </w:rPr>
        <w:t xml:space="preserve"> щ</w:t>
      </w:r>
      <w:r w:rsidR="00A14FDB" w:rsidRPr="00522B93">
        <w:rPr>
          <w:sz w:val="26"/>
          <w:szCs w:val="26"/>
        </w:rPr>
        <w:t>орічно</w:t>
      </w:r>
      <w:r w:rsidR="0031479D" w:rsidRPr="00522B93">
        <w:rPr>
          <w:sz w:val="26"/>
          <w:szCs w:val="26"/>
        </w:rPr>
        <w:t xml:space="preserve"> </w:t>
      </w:r>
      <w:r w:rsidR="00A14FDB" w:rsidRPr="00522B93">
        <w:rPr>
          <w:sz w:val="26"/>
          <w:szCs w:val="26"/>
        </w:rPr>
        <w:t>до</w:t>
      </w:r>
      <w:r w:rsidR="0031479D" w:rsidRPr="00522B93">
        <w:rPr>
          <w:sz w:val="26"/>
          <w:szCs w:val="26"/>
        </w:rPr>
        <w:t xml:space="preserve"> </w:t>
      </w:r>
      <w:r w:rsidR="00A14FDB" w:rsidRPr="00522B93">
        <w:rPr>
          <w:sz w:val="26"/>
          <w:szCs w:val="26"/>
        </w:rPr>
        <w:t xml:space="preserve">1 </w:t>
      </w:r>
      <w:r w:rsidR="00FF6350" w:rsidRPr="00522B93">
        <w:rPr>
          <w:sz w:val="26"/>
          <w:szCs w:val="26"/>
        </w:rPr>
        <w:t>квітня</w:t>
      </w:r>
      <w:r w:rsidR="00BE0A49" w:rsidRPr="00522B93">
        <w:rPr>
          <w:sz w:val="26"/>
          <w:szCs w:val="26"/>
        </w:rPr>
        <w:t xml:space="preserve"> </w:t>
      </w:r>
      <w:r w:rsidRPr="00522B93">
        <w:rPr>
          <w:sz w:val="26"/>
          <w:szCs w:val="26"/>
        </w:rPr>
        <w:t>поновлю</w:t>
      </w:r>
      <w:r w:rsidR="00CC7C2B" w:rsidRPr="00522B93">
        <w:rPr>
          <w:sz w:val="26"/>
          <w:szCs w:val="26"/>
        </w:rPr>
        <w:t>ють</w:t>
      </w:r>
      <w:r w:rsidRPr="00522B93">
        <w:rPr>
          <w:sz w:val="26"/>
          <w:szCs w:val="26"/>
        </w:rPr>
        <w:t xml:space="preserve"> </w:t>
      </w:r>
      <w:r w:rsidR="00A14FDB" w:rsidRPr="00522B93">
        <w:rPr>
          <w:sz w:val="26"/>
          <w:szCs w:val="26"/>
        </w:rPr>
        <w:t>д</w:t>
      </w:r>
      <w:r w:rsidR="00B74801" w:rsidRPr="00522B93">
        <w:rPr>
          <w:sz w:val="26"/>
          <w:szCs w:val="26"/>
        </w:rPr>
        <w:t>окументи</w:t>
      </w:r>
      <w:r w:rsidR="006E29C9" w:rsidRPr="00522B93">
        <w:rPr>
          <w:sz w:val="26"/>
          <w:szCs w:val="26"/>
        </w:rPr>
        <w:t>,</w:t>
      </w:r>
      <w:r w:rsidR="00166F22" w:rsidRPr="00522B93">
        <w:rPr>
          <w:sz w:val="26"/>
          <w:szCs w:val="26"/>
        </w:rPr>
        <w:t xml:space="preserve"> </w:t>
      </w:r>
      <w:r w:rsidR="00B74801" w:rsidRPr="00522B93">
        <w:rPr>
          <w:sz w:val="26"/>
          <w:szCs w:val="26"/>
        </w:rPr>
        <w:t>передбачені</w:t>
      </w:r>
      <w:r w:rsidR="007350D6" w:rsidRPr="00522B93">
        <w:rPr>
          <w:sz w:val="26"/>
          <w:szCs w:val="26"/>
        </w:rPr>
        <w:t xml:space="preserve"> п</w:t>
      </w:r>
      <w:r w:rsidR="006C6F2E" w:rsidRPr="00522B93">
        <w:rPr>
          <w:sz w:val="26"/>
          <w:szCs w:val="26"/>
        </w:rPr>
        <w:t>.</w:t>
      </w:r>
      <w:r w:rsidR="0051236D" w:rsidRPr="00522B93">
        <w:rPr>
          <w:sz w:val="26"/>
          <w:szCs w:val="26"/>
        </w:rPr>
        <w:t xml:space="preserve"> </w:t>
      </w:r>
      <w:r w:rsidR="007350D6" w:rsidRPr="00522B93">
        <w:rPr>
          <w:sz w:val="26"/>
          <w:szCs w:val="26"/>
        </w:rPr>
        <w:t>4</w:t>
      </w:r>
      <w:r w:rsidR="006C6F2E" w:rsidRPr="00522B93">
        <w:rPr>
          <w:sz w:val="26"/>
          <w:szCs w:val="26"/>
        </w:rPr>
        <w:t>.3</w:t>
      </w:r>
      <w:r w:rsidR="0041142C" w:rsidRPr="00522B93">
        <w:rPr>
          <w:sz w:val="26"/>
          <w:szCs w:val="26"/>
        </w:rPr>
        <w:t xml:space="preserve"> – </w:t>
      </w:r>
      <w:r w:rsidR="006C6F2E" w:rsidRPr="00522B93">
        <w:rPr>
          <w:sz w:val="26"/>
          <w:szCs w:val="26"/>
        </w:rPr>
        <w:t>4.9</w:t>
      </w:r>
      <w:r w:rsidR="0041142C" w:rsidRPr="00522B93">
        <w:rPr>
          <w:sz w:val="26"/>
          <w:szCs w:val="26"/>
        </w:rPr>
        <w:t xml:space="preserve"> </w:t>
      </w:r>
      <w:r w:rsidR="009862DE" w:rsidRPr="00522B93">
        <w:rPr>
          <w:sz w:val="26"/>
          <w:szCs w:val="26"/>
        </w:rPr>
        <w:t>Порядку</w:t>
      </w:r>
      <w:r w:rsidR="00166F22" w:rsidRPr="00522B93">
        <w:rPr>
          <w:sz w:val="26"/>
          <w:szCs w:val="26"/>
        </w:rPr>
        <w:t xml:space="preserve">. </w:t>
      </w:r>
    </w:p>
    <w:p w14:paraId="711B92F1" w14:textId="77777777" w:rsidR="00560A38" w:rsidRPr="00FF6350" w:rsidRDefault="00560A38" w:rsidP="000504EB">
      <w:pPr>
        <w:pStyle w:val="a4"/>
        <w:spacing w:after="120"/>
        <w:ind w:left="567" w:hanging="567"/>
        <w:jc w:val="both"/>
        <w:rPr>
          <w:sz w:val="26"/>
          <w:szCs w:val="26"/>
        </w:rPr>
      </w:pPr>
    </w:p>
    <w:p w14:paraId="49E1153F" w14:textId="1961EB9F" w:rsidR="00560A38" w:rsidRPr="00FF6350" w:rsidRDefault="002C0E29" w:rsidP="00522B93">
      <w:pPr>
        <w:pStyle w:val="a4"/>
        <w:numPr>
          <w:ilvl w:val="0"/>
          <w:numId w:val="6"/>
        </w:numPr>
        <w:spacing w:after="120"/>
        <w:ind w:left="709" w:hanging="709"/>
        <w:jc w:val="both"/>
        <w:rPr>
          <w:b/>
          <w:i/>
          <w:sz w:val="26"/>
          <w:szCs w:val="26"/>
        </w:rPr>
      </w:pPr>
      <w:r w:rsidRPr="00FF6350">
        <w:rPr>
          <w:b/>
          <w:i/>
          <w:sz w:val="26"/>
          <w:szCs w:val="26"/>
        </w:rPr>
        <w:t xml:space="preserve">Перелік формується </w:t>
      </w:r>
      <w:r w:rsidR="0041142C" w:rsidRPr="00FF6350">
        <w:rPr>
          <w:b/>
          <w:i/>
          <w:sz w:val="26"/>
          <w:szCs w:val="26"/>
        </w:rPr>
        <w:t>зі</w:t>
      </w:r>
      <w:r w:rsidR="00AA557C" w:rsidRPr="00FF6350">
        <w:rPr>
          <w:b/>
          <w:i/>
          <w:sz w:val="26"/>
          <w:szCs w:val="26"/>
        </w:rPr>
        <w:t xml:space="preserve"> страхових компаній, які підтвердили </w:t>
      </w:r>
      <w:r w:rsidR="00522B93">
        <w:rPr>
          <w:b/>
          <w:i/>
          <w:sz w:val="26"/>
          <w:szCs w:val="26"/>
        </w:rPr>
        <w:t>таку інформацію</w:t>
      </w:r>
      <w:r w:rsidR="006C0B34">
        <w:rPr>
          <w:b/>
          <w:i/>
          <w:sz w:val="26"/>
          <w:szCs w:val="26"/>
        </w:rPr>
        <w:t xml:space="preserve"> щодо себе</w:t>
      </w:r>
    </w:p>
    <w:p w14:paraId="3A45547E" w14:textId="2CB90727" w:rsidR="00522B93" w:rsidRDefault="00D326EE" w:rsidP="00522B93">
      <w:pPr>
        <w:pStyle w:val="a4"/>
        <w:numPr>
          <w:ilvl w:val="1"/>
          <w:numId w:val="10"/>
        </w:numPr>
        <w:spacing w:after="120"/>
        <w:jc w:val="both"/>
        <w:rPr>
          <w:sz w:val="26"/>
          <w:szCs w:val="26"/>
        </w:rPr>
      </w:pPr>
      <w:r w:rsidRPr="00522B93">
        <w:rPr>
          <w:sz w:val="26"/>
          <w:szCs w:val="26"/>
        </w:rPr>
        <w:t xml:space="preserve">Наявність ліцензії </w:t>
      </w:r>
      <w:r w:rsidR="004E2246" w:rsidRPr="00522B93">
        <w:rPr>
          <w:color w:val="333333"/>
          <w:sz w:val="26"/>
          <w:szCs w:val="26"/>
          <w:shd w:val="clear" w:color="auto" w:fill="FFFFFF"/>
        </w:rPr>
        <w:t xml:space="preserve">на здійснення діяльності </w:t>
      </w:r>
      <w:r w:rsidR="002C1753" w:rsidRPr="00522B93">
        <w:rPr>
          <w:color w:val="333333"/>
          <w:sz w:val="26"/>
          <w:szCs w:val="26"/>
          <w:shd w:val="clear" w:color="auto" w:fill="FFFFFF"/>
        </w:rPr>
        <w:t xml:space="preserve">зі страхування </w:t>
      </w:r>
      <w:r w:rsidR="004E2246" w:rsidRPr="00522B93">
        <w:rPr>
          <w:color w:val="333333"/>
          <w:sz w:val="26"/>
          <w:szCs w:val="26"/>
          <w:shd w:val="clear" w:color="auto" w:fill="FFFFFF"/>
        </w:rPr>
        <w:t>за класом 13 (</w:t>
      </w:r>
      <w:r w:rsidR="002C1753" w:rsidRPr="00522B93">
        <w:rPr>
          <w:color w:val="333333"/>
          <w:sz w:val="26"/>
          <w:szCs w:val="26"/>
          <w:shd w:val="clear" w:color="auto" w:fill="FFFFFF"/>
        </w:rPr>
        <w:t>страхування іншої відповідальності</w:t>
      </w:r>
      <w:r w:rsidR="00522B93">
        <w:rPr>
          <w:color w:val="333333"/>
          <w:sz w:val="26"/>
          <w:szCs w:val="26"/>
          <w:shd w:val="clear" w:color="auto" w:fill="FFFFFF"/>
        </w:rPr>
        <w:t>,</w:t>
      </w:r>
      <w:r w:rsidR="002C1753" w:rsidRPr="00522B93">
        <w:rPr>
          <w:color w:val="333333"/>
          <w:sz w:val="26"/>
          <w:szCs w:val="26"/>
          <w:shd w:val="clear" w:color="auto" w:fill="FFFFFF"/>
        </w:rPr>
        <w:t xml:space="preserve"> ніж передбачена класами 10, 11, 12</w:t>
      </w:r>
      <w:r w:rsidR="004E2246" w:rsidRPr="00522B93">
        <w:rPr>
          <w:color w:val="333333"/>
          <w:sz w:val="26"/>
          <w:szCs w:val="26"/>
          <w:shd w:val="clear" w:color="auto" w:fill="FFFFFF"/>
        </w:rPr>
        <w:t xml:space="preserve">) </w:t>
      </w:r>
      <w:r w:rsidRPr="00522B93">
        <w:rPr>
          <w:sz w:val="26"/>
          <w:szCs w:val="26"/>
        </w:rPr>
        <w:t xml:space="preserve">. </w:t>
      </w:r>
    </w:p>
    <w:p w14:paraId="1A05156B" w14:textId="41C9AAEC" w:rsidR="004B0A8B" w:rsidRPr="00522B93" w:rsidRDefault="00D326EE" w:rsidP="00522B93">
      <w:pPr>
        <w:pStyle w:val="a4"/>
        <w:numPr>
          <w:ilvl w:val="1"/>
          <w:numId w:val="10"/>
        </w:numPr>
        <w:spacing w:after="120"/>
        <w:jc w:val="both"/>
        <w:rPr>
          <w:sz w:val="26"/>
          <w:szCs w:val="26"/>
        </w:rPr>
      </w:pPr>
      <w:r w:rsidRPr="00522B93">
        <w:rPr>
          <w:sz w:val="26"/>
          <w:szCs w:val="26"/>
        </w:rPr>
        <w:t xml:space="preserve">Рівень страхових виплат повинен бути не менше </w:t>
      </w:r>
      <w:r w:rsidR="00DB4459" w:rsidRPr="00522B93">
        <w:rPr>
          <w:sz w:val="26"/>
          <w:szCs w:val="26"/>
        </w:rPr>
        <w:t>20</w:t>
      </w:r>
      <w:r w:rsidRPr="00522B93">
        <w:rPr>
          <w:sz w:val="26"/>
          <w:szCs w:val="26"/>
        </w:rPr>
        <w:t xml:space="preserve">% </w:t>
      </w:r>
      <w:r w:rsidR="006C0B34">
        <w:rPr>
          <w:sz w:val="26"/>
          <w:szCs w:val="26"/>
        </w:rPr>
        <w:t>від</w:t>
      </w:r>
      <w:r w:rsidRPr="00522B93">
        <w:rPr>
          <w:sz w:val="26"/>
          <w:szCs w:val="26"/>
        </w:rPr>
        <w:t xml:space="preserve"> отриманих страхових платежів </w:t>
      </w:r>
      <w:r w:rsidR="00D35AEB" w:rsidRPr="00522B93">
        <w:rPr>
          <w:sz w:val="26"/>
          <w:szCs w:val="26"/>
        </w:rPr>
        <w:t>на останню звітну дату</w:t>
      </w:r>
      <w:r w:rsidRPr="00522B93">
        <w:rPr>
          <w:sz w:val="26"/>
          <w:szCs w:val="26"/>
        </w:rPr>
        <w:t>.</w:t>
      </w:r>
      <w:r w:rsidR="004B0A8B" w:rsidRPr="00522B93">
        <w:rPr>
          <w:sz w:val="26"/>
          <w:szCs w:val="26"/>
        </w:rPr>
        <w:t xml:space="preserve"> </w:t>
      </w:r>
    </w:p>
    <w:p w14:paraId="068CEA09" w14:textId="77777777" w:rsidR="00522B93" w:rsidRDefault="0041142C" w:rsidP="00522B93">
      <w:pPr>
        <w:pStyle w:val="a4"/>
        <w:spacing w:after="120"/>
        <w:ind w:left="709"/>
        <w:jc w:val="both"/>
        <w:rPr>
          <w:i/>
          <w:sz w:val="26"/>
          <w:szCs w:val="26"/>
          <w:u w:val="single"/>
        </w:rPr>
      </w:pPr>
      <w:r w:rsidRPr="00FF6350">
        <w:rPr>
          <w:i/>
          <w:sz w:val="26"/>
          <w:szCs w:val="26"/>
          <w:u w:val="single"/>
        </w:rPr>
        <w:t>Ця</w:t>
      </w:r>
      <w:r w:rsidR="004B0A8B" w:rsidRPr="00FF6350">
        <w:rPr>
          <w:i/>
          <w:sz w:val="26"/>
          <w:szCs w:val="26"/>
          <w:u w:val="single"/>
        </w:rPr>
        <w:t xml:space="preserve"> вимога не застосовується до страхових компаній, які не здійснюють </w:t>
      </w:r>
      <w:r w:rsidR="00655729" w:rsidRPr="00FF6350">
        <w:rPr>
          <w:i/>
          <w:sz w:val="26"/>
          <w:szCs w:val="26"/>
          <w:u w:val="single"/>
        </w:rPr>
        <w:t xml:space="preserve">ризикового </w:t>
      </w:r>
      <w:r w:rsidR="004B0A8B" w:rsidRPr="00FF6350">
        <w:rPr>
          <w:i/>
          <w:sz w:val="26"/>
          <w:szCs w:val="26"/>
          <w:u w:val="single"/>
        </w:rPr>
        <w:t>страху</w:t>
      </w:r>
      <w:r w:rsidR="00FE2D3A" w:rsidRPr="00FF6350">
        <w:rPr>
          <w:i/>
          <w:sz w:val="26"/>
          <w:szCs w:val="26"/>
          <w:u w:val="single"/>
        </w:rPr>
        <w:t xml:space="preserve">вання </w:t>
      </w:r>
      <w:r w:rsidR="003D0113" w:rsidRPr="00FF6350">
        <w:rPr>
          <w:i/>
          <w:sz w:val="26"/>
          <w:szCs w:val="26"/>
          <w:u w:val="single"/>
        </w:rPr>
        <w:t>(</w:t>
      </w:r>
      <w:r w:rsidR="00FE2D3A" w:rsidRPr="00FF6350">
        <w:rPr>
          <w:i/>
          <w:sz w:val="26"/>
          <w:szCs w:val="26"/>
          <w:u w:val="single"/>
        </w:rPr>
        <w:t>а саме</w:t>
      </w:r>
      <w:r w:rsidR="004B0A8B" w:rsidRPr="00FF6350">
        <w:rPr>
          <w:i/>
          <w:sz w:val="26"/>
          <w:szCs w:val="26"/>
          <w:u w:val="single"/>
        </w:rPr>
        <w:t xml:space="preserve">: </w:t>
      </w:r>
      <w:r w:rsidR="009D075D" w:rsidRPr="00FF6350">
        <w:rPr>
          <w:i/>
          <w:sz w:val="26"/>
          <w:szCs w:val="26"/>
          <w:u w:val="single"/>
        </w:rPr>
        <w:t>медичн</w:t>
      </w:r>
      <w:r w:rsidR="004B0A8B" w:rsidRPr="00FF6350">
        <w:rPr>
          <w:i/>
          <w:sz w:val="26"/>
          <w:szCs w:val="26"/>
          <w:u w:val="single"/>
        </w:rPr>
        <w:t>е</w:t>
      </w:r>
      <w:r w:rsidR="009D075D" w:rsidRPr="00FF6350">
        <w:rPr>
          <w:i/>
          <w:sz w:val="26"/>
          <w:szCs w:val="26"/>
          <w:u w:val="single"/>
        </w:rPr>
        <w:t xml:space="preserve"> страхування</w:t>
      </w:r>
      <w:r w:rsidR="004B0A8B" w:rsidRPr="00FF6350">
        <w:rPr>
          <w:i/>
          <w:sz w:val="26"/>
          <w:szCs w:val="26"/>
          <w:u w:val="single"/>
        </w:rPr>
        <w:t xml:space="preserve">, </w:t>
      </w:r>
      <w:r w:rsidR="00FE2D3A" w:rsidRPr="00FF6350">
        <w:rPr>
          <w:i/>
          <w:sz w:val="26"/>
          <w:szCs w:val="26"/>
          <w:u w:val="single"/>
        </w:rPr>
        <w:t>КАСКО, ОСЦПВВНТЗ</w:t>
      </w:r>
      <w:r w:rsidR="003D0113" w:rsidRPr="00FF6350">
        <w:rPr>
          <w:i/>
          <w:sz w:val="26"/>
          <w:szCs w:val="26"/>
          <w:u w:val="single"/>
        </w:rPr>
        <w:t>)</w:t>
      </w:r>
      <w:r w:rsidR="00655729" w:rsidRPr="00FF6350">
        <w:rPr>
          <w:i/>
          <w:sz w:val="26"/>
          <w:szCs w:val="26"/>
          <w:u w:val="single"/>
        </w:rPr>
        <w:t>.</w:t>
      </w:r>
    </w:p>
    <w:p w14:paraId="47B4C7F9" w14:textId="77777777" w:rsidR="00522B93" w:rsidRPr="00522B93" w:rsidRDefault="00D326EE" w:rsidP="00522B93">
      <w:pPr>
        <w:pStyle w:val="a4"/>
        <w:numPr>
          <w:ilvl w:val="1"/>
          <w:numId w:val="10"/>
        </w:numPr>
        <w:spacing w:after="120"/>
        <w:jc w:val="both"/>
        <w:rPr>
          <w:i/>
          <w:sz w:val="26"/>
          <w:szCs w:val="26"/>
          <w:u w:val="single"/>
        </w:rPr>
      </w:pPr>
      <w:r w:rsidRPr="00522B93">
        <w:rPr>
          <w:sz w:val="26"/>
          <w:szCs w:val="26"/>
        </w:rPr>
        <w:t>Відсутність невиконаних заходів впливу</w:t>
      </w:r>
      <w:r w:rsidR="0047677D" w:rsidRPr="00522B93">
        <w:rPr>
          <w:sz w:val="26"/>
          <w:szCs w:val="26"/>
        </w:rPr>
        <w:t xml:space="preserve"> та дотримання вимог до платоспроможності страховика (у т. ч. обов’язкові фінансові нормативи) встановлені законодавством</w:t>
      </w:r>
      <w:r w:rsidR="005B013E" w:rsidRPr="00522B93">
        <w:rPr>
          <w:sz w:val="26"/>
          <w:szCs w:val="26"/>
        </w:rPr>
        <w:t>,</w:t>
      </w:r>
      <w:r w:rsidR="006C29F9" w:rsidRPr="00522B93">
        <w:rPr>
          <w:sz w:val="26"/>
          <w:szCs w:val="26"/>
        </w:rPr>
        <w:t xml:space="preserve"> що</w:t>
      </w:r>
      <w:r w:rsidR="005B013E" w:rsidRPr="00522B93">
        <w:rPr>
          <w:sz w:val="26"/>
          <w:szCs w:val="26"/>
        </w:rPr>
        <w:t xml:space="preserve"> </w:t>
      </w:r>
      <w:r w:rsidR="0047677D" w:rsidRPr="00522B93">
        <w:rPr>
          <w:sz w:val="26"/>
          <w:szCs w:val="26"/>
        </w:rPr>
        <w:t>підтверджені</w:t>
      </w:r>
      <w:r w:rsidR="0060332A" w:rsidRPr="00522B93">
        <w:rPr>
          <w:sz w:val="26"/>
          <w:szCs w:val="26"/>
        </w:rPr>
        <w:t xml:space="preserve"> </w:t>
      </w:r>
      <w:r w:rsidR="00C4542C" w:rsidRPr="00522B93">
        <w:rPr>
          <w:sz w:val="26"/>
          <w:szCs w:val="26"/>
        </w:rPr>
        <w:t xml:space="preserve">Національним </w:t>
      </w:r>
      <w:r w:rsidR="00DB4459" w:rsidRPr="00522B93">
        <w:rPr>
          <w:sz w:val="26"/>
          <w:szCs w:val="26"/>
        </w:rPr>
        <w:t>банк</w:t>
      </w:r>
      <w:r w:rsidR="00C4542C" w:rsidRPr="00522B93">
        <w:rPr>
          <w:sz w:val="26"/>
          <w:szCs w:val="26"/>
        </w:rPr>
        <w:t>ом</w:t>
      </w:r>
      <w:r w:rsidRPr="00522B93">
        <w:rPr>
          <w:sz w:val="26"/>
          <w:szCs w:val="26"/>
        </w:rPr>
        <w:t xml:space="preserve"> </w:t>
      </w:r>
      <w:r w:rsidR="00C4542C" w:rsidRPr="00522B93">
        <w:rPr>
          <w:sz w:val="26"/>
          <w:szCs w:val="26"/>
        </w:rPr>
        <w:t>України</w:t>
      </w:r>
      <w:r w:rsidR="0047677D" w:rsidRPr="00522B93">
        <w:rPr>
          <w:sz w:val="26"/>
          <w:szCs w:val="26"/>
        </w:rPr>
        <w:t>.</w:t>
      </w:r>
    </w:p>
    <w:p w14:paraId="4782F0CA" w14:textId="1232F384" w:rsidR="00FF6350" w:rsidRPr="00522B93" w:rsidRDefault="00FF6350" w:rsidP="00522B93">
      <w:pPr>
        <w:pStyle w:val="a4"/>
        <w:numPr>
          <w:ilvl w:val="1"/>
          <w:numId w:val="10"/>
        </w:numPr>
        <w:spacing w:after="120"/>
        <w:jc w:val="both"/>
        <w:rPr>
          <w:i/>
          <w:sz w:val="26"/>
          <w:szCs w:val="26"/>
          <w:u w:val="single"/>
        </w:rPr>
      </w:pPr>
      <w:r w:rsidRPr="00522B93">
        <w:rPr>
          <w:sz w:val="26"/>
          <w:szCs w:val="26"/>
        </w:rPr>
        <w:t>Відсутність заборгованості перед бюджетами всіх рівнів.</w:t>
      </w:r>
    </w:p>
    <w:p w14:paraId="055C53F2" w14:textId="77777777" w:rsidR="00560A38" w:rsidRPr="00FF6350" w:rsidRDefault="00560A38" w:rsidP="000504EB">
      <w:pPr>
        <w:pStyle w:val="a4"/>
        <w:spacing w:after="120"/>
        <w:ind w:left="567" w:hanging="567"/>
        <w:jc w:val="both"/>
        <w:rPr>
          <w:sz w:val="26"/>
          <w:szCs w:val="26"/>
        </w:rPr>
      </w:pPr>
    </w:p>
    <w:p w14:paraId="420D273B" w14:textId="515426D4" w:rsidR="00560A38" w:rsidRPr="00FF6350" w:rsidRDefault="00D326EE" w:rsidP="00522B93">
      <w:pPr>
        <w:pStyle w:val="a4"/>
        <w:numPr>
          <w:ilvl w:val="0"/>
          <w:numId w:val="6"/>
        </w:numPr>
        <w:spacing w:after="120"/>
        <w:ind w:left="709" w:hanging="709"/>
        <w:jc w:val="both"/>
        <w:rPr>
          <w:b/>
          <w:i/>
          <w:sz w:val="26"/>
          <w:szCs w:val="26"/>
        </w:rPr>
      </w:pPr>
      <w:r w:rsidRPr="00FF6350">
        <w:rPr>
          <w:b/>
          <w:i/>
          <w:sz w:val="26"/>
          <w:szCs w:val="26"/>
        </w:rPr>
        <w:t xml:space="preserve">Для </w:t>
      </w:r>
      <w:r w:rsidR="00AA557C" w:rsidRPr="00FF6350">
        <w:rPr>
          <w:b/>
          <w:i/>
          <w:sz w:val="26"/>
          <w:szCs w:val="26"/>
        </w:rPr>
        <w:t xml:space="preserve">включення до </w:t>
      </w:r>
      <w:r w:rsidR="0041142C" w:rsidRPr="00FF6350">
        <w:rPr>
          <w:b/>
          <w:i/>
          <w:sz w:val="26"/>
          <w:szCs w:val="26"/>
        </w:rPr>
        <w:t>П</w:t>
      </w:r>
      <w:r w:rsidR="00AA557C" w:rsidRPr="00FF6350">
        <w:rPr>
          <w:b/>
          <w:i/>
          <w:sz w:val="26"/>
          <w:szCs w:val="26"/>
        </w:rPr>
        <w:t>ереліку</w:t>
      </w:r>
      <w:r w:rsidRPr="00FF6350">
        <w:rPr>
          <w:b/>
          <w:i/>
          <w:sz w:val="26"/>
          <w:szCs w:val="26"/>
        </w:rPr>
        <w:t xml:space="preserve"> страхові компанії</w:t>
      </w:r>
      <w:r w:rsidR="00BC1D7A" w:rsidRPr="00FF6350">
        <w:rPr>
          <w:b/>
          <w:i/>
          <w:sz w:val="26"/>
          <w:szCs w:val="26"/>
        </w:rPr>
        <w:t xml:space="preserve"> </w:t>
      </w:r>
      <w:r w:rsidRPr="00FF6350">
        <w:rPr>
          <w:b/>
          <w:i/>
          <w:sz w:val="26"/>
          <w:szCs w:val="26"/>
        </w:rPr>
        <w:t xml:space="preserve">повинні надати такі документи </w:t>
      </w:r>
    </w:p>
    <w:p w14:paraId="29754D24" w14:textId="77777777" w:rsidR="00522B93" w:rsidRDefault="00D326EE" w:rsidP="00522B93">
      <w:pPr>
        <w:pStyle w:val="a4"/>
        <w:numPr>
          <w:ilvl w:val="1"/>
          <w:numId w:val="12"/>
        </w:numPr>
        <w:spacing w:after="120"/>
        <w:jc w:val="both"/>
        <w:rPr>
          <w:sz w:val="26"/>
          <w:szCs w:val="26"/>
        </w:rPr>
      </w:pPr>
      <w:r w:rsidRPr="00522B93">
        <w:rPr>
          <w:sz w:val="26"/>
          <w:szCs w:val="26"/>
        </w:rPr>
        <w:t>Лист</w:t>
      </w:r>
      <w:r w:rsidR="00C9397D" w:rsidRPr="00522B93">
        <w:rPr>
          <w:sz w:val="26"/>
          <w:szCs w:val="26"/>
        </w:rPr>
        <w:t xml:space="preserve"> </w:t>
      </w:r>
      <w:r w:rsidRPr="00522B93">
        <w:rPr>
          <w:sz w:val="26"/>
          <w:szCs w:val="26"/>
        </w:rPr>
        <w:t>з обов’язковим зазначенням</w:t>
      </w:r>
      <w:r w:rsidR="00763CBE" w:rsidRPr="00522B93">
        <w:rPr>
          <w:sz w:val="26"/>
          <w:szCs w:val="26"/>
        </w:rPr>
        <w:t xml:space="preserve"> повної</w:t>
      </w:r>
      <w:r w:rsidRPr="00522B93">
        <w:rPr>
          <w:sz w:val="26"/>
          <w:szCs w:val="26"/>
        </w:rPr>
        <w:t xml:space="preserve"> назви</w:t>
      </w:r>
      <w:r w:rsidR="00763CBE" w:rsidRPr="00522B93">
        <w:rPr>
          <w:sz w:val="26"/>
          <w:szCs w:val="26"/>
        </w:rPr>
        <w:t xml:space="preserve"> страхової компанії</w:t>
      </w:r>
      <w:r w:rsidRPr="00522B93">
        <w:rPr>
          <w:sz w:val="26"/>
          <w:szCs w:val="26"/>
        </w:rPr>
        <w:t>, коду ЄДРПОУ, місцезнаходження, поштової адреси, телефону, факсу (за наявності), електронної адреси; банківських реквізитів, відомостей про керівництво (прізвище, ім’я, по батькові, посада, контактний телефон).</w:t>
      </w:r>
    </w:p>
    <w:p w14:paraId="25F021A0" w14:textId="16B09151" w:rsidR="00522B93" w:rsidRDefault="00BE3E85" w:rsidP="00522B93">
      <w:pPr>
        <w:pStyle w:val="a4"/>
        <w:numPr>
          <w:ilvl w:val="1"/>
          <w:numId w:val="12"/>
        </w:numPr>
        <w:spacing w:after="120"/>
        <w:jc w:val="both"/>
        <w:rPr>
          <w:sz w:val="26"/>
          <w:szCs w:val="26"/>
        </w:rPr>
      </w:pPr>
      <w:r w:rsidRPr="00522B93">
        <w:rPr>
          <w:sz w:val="26"/>
          <w:szCs w:val="26"/>
        </w:rPr>
        <w:t>Копію В</w:t>
      </w:r>
      <w:r w:rsidR="002C1753" w:rsidRPr="00522B93">
        <w:rPr>
          <w:sz w:val="26"/>
          <w:szCs w:val="26"/>
        </w:rPr>
        <w:t>итяг</w:t>
      </w:r>
      <w:r w:rsidRPr="00522B93">
        <w:rPr>
          <w:sz w:val="26"/>
          <w:szCs w:val="26"/>
        </w:rPr>
        <w:t>у</w:t>
      </w:r>
      <w:r w:rsidR="002C1753" w:rsidRPr="00522B93">
        <w:rPr>
          <w:sz w:val="26"/>
          <w:szCs w:val="26"/>
        </w:rPr>
        <w:t xml:space="preserve"> із Державного реє</w:t>
      </w:r>
      <w:r w:rsidR="006C0B34">
        <w:rPr>
          <w:sz w:val="26"/>
          <w:szCs w:val="26"/>
        </w:rPr>
        <w:t>стру фінансових установ, надан</w:t>
      </w:r>
      <w:r w:rsidR="00BB5242">
        <w:rPr>
          <w:sz w:val="26"/>
          <w:szCs w:val="26"/>
        </w:rPr>
        <w:t>ого</w:t>
      </w:r>
      <w:r w:rsidR="002C1753" w:rsidRPr="00522B93">
        <w:rPr>
          <w:sz w:val="26"/>
          <w:szCs w:val="26"/>
        </w:rPr>
        <w:t xml:space="preserve"> НБУ, в якому має бути зазначено діяльність із страхування за класом 13 – страхування іншої відповідальності (крім визначеної у класах 10, 11, 12)</w:t>
      </w:r>
      <w:r w:rsidR="00D326EE" w:rsidRPr="00522B93">
        <w:rPr>
          <w:sz w:val="26"/>
          <w:szCs w:val="26"/>
        </w:rPr>
        <w:t>.</w:t>
      </w:r>
    </w:p>
    <w:p w14:paraId="11E42275" w14:textId="77777777" w:rsidR="00522B93" w:rsidRDefault="000A2AEB" w:rsidP="00522B93">
      <w:pPr>
        <w:pStyle w:val="a4"/>
        <w:numPr>
          <w:ilvl w:val="1"/>
          <w:numId w:val="12"/>
        </w:numPr>
        <w:spacing w:after="120"/>
        <w:jc w:val="both"/>
        <w:rPr>
          <w:sz w:val="26"/>
          <w:szCs w:val="26"/>
        </w:rPr>
      </w:pPr>
      <w:r w:rsidRPr="00522B93">
        <w:rPr>
          <w:sz w:val="26"/>
          <w:szCs w:val="26"/>
        </w:rPr>
        <w:t xml:space="preserve">Копію </w:t>
      </w:r>
      <w:r w:rsidR="00D326EE" w:rsidRPr="00522B93">
        <w:rPr>
          <w:sz w:val="26"/>
          <w:szCs w:val="26"/>
        </w:rPr>
        <w:t>Баланс</w:t>
      </w:r>
      <w:r w:rsidRPr="00522B93">
        <w:rPr>
          <w:sz w:val="26"/>
          <w:szCs w:val="26"/>
        </w:rPr>
        <w:t>у</w:t>
      </w:r>
      <w:r w:rsidR="00D326EE" w:rsidRPr="00522B93">
        <w:rPr>
          <w:sz w:val="26"/>
          <w:szCs w:val="26"/>
        </w:rPr>
        <w:t xml:space="preserve"> підприємства (форма №</w:t>
      </w:r>
      <w:r w:rsidR="00763CBE" w:rsidRPr="00522B93">
        <w:rPr>
          <w:sz w:val="26"/>
          <w:szCs w:val="26"/>
        </w:rPr>
        <w:t> </w:t>
      </w:r>
      <w:r w:rsidR="00D326EE" w:rsidRPr="00522B93">
        <w:rPr>
          <w:sz w:val="26"/>
          <w:szCs w:val="26"/>
        </w:rPr>
        <w:t>1) за попередній звітний період (</w:t>
      </w:r>
      <w:r w:rsidR="001E7A4A" w:rsidRPr="00522B93">
        <w:rPr>
          <w:sz w:val="26"/>
          <w:szCs w:val="26"/>
        </w:rPr>
        <w:t>рік) та за кожен квартал поточного року</w:t>
      </w:r>
      <w:r w:rsidR="00D326EE" w:rsidRPr="00522B93">
        <w:rPr>
          <w:sz w:val="26"/>
          <w:szCs w:val="26"/>
        </w:rPr>
        <w:t>, засвідчен</w:t>
      </w:r>
      <w:r w:rsidRPr="00522B93">
        <w:rPr>
          <w:sz w:val="26"/>
          <w:szCs w:val="26"/>
        </w:rPr>
        <w:t>у</w:t>
      </w:r>
      <w:r w:rsidR="00D326EE" w:rsidRPr="00522B93">
        <w:rPr>
          <w:sz w:val="26"/>
          <w:szCs w:val="26"/>
        </w:rPr>
        <w:t xml:space="preserve"> підписом керівника </w:t>
      </w:r>
      <w:r w:rsidR="00763CBE" w:rsidRPr="00522B93">
        <w:rPr>
          <w:sz w:val="26"/>
          <w:szCs w:val="26"/>
        </w:rPr>
        <w:t xml:space="preserve">страхової компанії </w:t>
      </w:r>
      <w:r w:rsidR="00D326EE" w:rsidRPr="00522B93">
        <w:rPr>
          <w:sz w:val="26"/>
          <w:szCs w:val="26"/>
        </w:rPr>
        <w:t>та скріплен</w:t>
      </w:r>
      <w:r w:rsidR="009863A0" w:rsidRPr="00522B93">
        <w:rPr>
          <w:sz w:val="26"/>
          <w:szCs w:val="26"/>
        </w:rPr>
        <w:t>у</w:t>
      </w:r>
      <w:r w:rsidR="00D326EE" w:rsidRPr="00522B93">
        <w:rPr>
          <w:sz w:val="26"/>
          <w:szCs w:val="26"/>
        </w:rPr>
        <w:t xml:space="preserve"> печаткою</w:t>
      </w:r>
      <w:r w:rsidR="00763CBE" w:rsidRPr="00522B93">
        <w:rPr>
          <w:sz w:val="26"/>
          <w:szCs w:val="26"/>
        </w:rPr>
        <w:t xml:space="preserve"> (за наявності)</w:t>
      </w:r>
      <w:r w:rsidR="00D326EE" w:rsidRPr="00522B93">
        <w:rPr>
          <w:sz w:val="26"/>
          <w:szCs w:val="26"/>
        </w:rPr>
        <w:t xml:space="preserve">. </w:t>
      </w:r>
    </w:p>
    <w:p w14:paraId="216724DC" w14:textId="77777777" w:rsidR="00522B93" w:rsidRDefault="000A2AEB" w:rsidP="00522B93">
      <w:pPr>
        <w:pStyle w:val="a4"/>
        <w:numPr>
          <w:ilvl w:val="1"/>
          <w:numId w:val="12"/>
        </w:numPr>
        <w:spacing w:after="120"/>
        <w:jc w:val="both"/>
        <w:rPr>
          <w:sz w:val="26"/>
          <w:szCs w:val="26"/>
        </w:rPr>
      </w:pPr>
      <w:r w:rsidRPr="00522B93">
        <w:rPr>
          <w:sz w:val="26"/>
          <w:szCs w:val="26"/>
        </w:rPr>
        <w:t xml:space="preserve">Копію </w:t>
      </w:r>
      <w:r w:rsidR="00D326EE" w:rsidRPr="00522B93">
        <w:rPr>
          <w:sz w:val="26"/>
          <w:szCs w:val="26"/>
        </w:rPr>
        <w:t>Звіт</w:t>
      </w:r>
      <w:r w:rsidRPr="00522B93">
        <w:rPr>
          <w:sz w:val="26"/>
          <w:szCs w:val="26"/>
        </w:rPr>
        <w:t>у</w:t>
      </w:r>
      <w:r w:rsidR="00D326EE" w:rsidRPr="00522B93">
        <w:rPr>
          <w:sz w:val="26"/>
          <w:szCs w:val="26"/>
        </w:rPr>
        <w:t xml:space="preserve"> про фінансові результати (форма №</w:t>
      </w:r>
      <w:r w:rsidR="00763CBE" w:rsidRPr="00522B93">
        <w:rPr>
          <w:sz w:val="26"/>
          <w:szCs w:val="26"/>
        </w:rPr>
        <w:t> </w:t>
      </w:r>
      <w:r w:rsidR="00D326EE" w:rsidRPr="00522B93">
        <w:rPr>
          <w:sz w:val="26"/>
          <w:szCs w:val="26"/>
        </w:rPr>
        <w:t>2) за попередній звітний період (рік)</w:t>
      </w:r>
      <w:r w:rsidR="001E7A4A" w:rsidRPr="00522B93">
        <w:rPr>
          <w:sz w:val="26"/>
          <w:szCs w:val="26"/>
        </w:rPr>
        <w:t xml:space="preserve"> та за кожен квартал поточного року</w:t>
      </w:r>
      <w:r w:rsidR="00D326EE" w:rsidRPr="00522B93">
        <w:rPr>
          <w:sz w:val="26"/>
          <w:szCs w:val="26"/>
        </w:rPr>
        <w:t>, засвідчен</w:t>
      </w:r>
      <w:r w:rsidRPr="00522B93">
        <w:rPr>
          <w:sz w:val="26"/>
          <w:szCs w:val="26"/>
        </w:rPr>
        <w:t>у</w:t>
      </w:r>
      <w:r w:rsidR="00D326EE" w:rsidRPr="00522B93">
        <w:rPr>
          <w:sz w:val="26"/>
          <w:szCs w:val="26"/>
        </w:rPr>
        <w:t xml:space="preserve"> </w:t>
      </w:r>
      <w:r w:rsidR="00763CBE" w:rsidRPr="00522B93">
        <w:rPr>
          <w:sz w:val="26"/>
          <w:szCs w:val="26"/>
        </w:rPr>
        <w:t>підписом керівника страхової компанії та скріплен</w:t>
      </w:r>
      <w:r w:rsidR="009863A0" w:rsidRPr="00522B93">
        <w:rPr>
          <w:sz w:val="26"/>
          <w:szCs w:val="26"/>
        </w:rPr>
        <w:t>у</w:t>
      </w:r>
      <w:r w:rsidR="00763CBE" w:rsidRPr="00522B93">
        <w:rPr>
          <w:sz w:val="26"/>
          <w:szCs w:val="26"/>
        </w:rPr>
        <w:t xml:space="preserve"> печаткою (за наявності)</w:t>
      </w:r>
      <w:r w:rsidR="00D326EE" w:rsidRPr="00522B93">
        <w:rPr>
          <w:sz w:val="26"/>
          <w:szCs w:val="26"/>
        </w:rPr>
        <w:t xml:space="preserve">. </w:t>
      </w:r>
    </w:p>
    <w:p w14:paraId="0E8CAED4" w14:textId="77777777" w:rsidR="00522B93" w:rsidRDefault="00221DAF" w:rsidP="00522B93">
      <w:pPr>
        <w:pStyle w:val="a4"/>
        <w:numPr>
          <w:ilvl w:val="1"/>
          <w:numId w:val="12"/>
        </w:numPr>
        <w:spacing w:after="120"/>
        <w:jc w:val="both"/>
        <w:rPr>
          <w:sz w:val="26"/>
          <w:szCs w:val="26"/>
        </w:rPr>
      </w:pPr>
      <w:r w:rsidRPr="00522B93">
        <w:rPr>
          <w:color w:val="000000"/>
          <w:sz w:val="26"/>
          <w:szCs w:val="26"/>
        </w:rPr>
        <w:t xml:space="preserve">Копію звіту «Дані про показники діяльності зі страхування» (код IRPL) за попередній звітний період (рік) та за кожен </w:t>
      </w:r>
      <w:r w:rsidRPr="00522B93">
        <w:rPr>
          <w:sz w:val="26"/>
          <w:szCs w:val="26"/>
        </w:rPr>
        <w:t>квартал поточного року</w:t>
      </w:r>
      <w:r w:rsidR="00473DF2" w:rsidRPr="00522B93">
        <w:rPr>
          <w:sz w:val="26"/>
          <w:szCs w:val="26"/>
        </w:rPr>
        <w:t>,</w:t>
      </w:r>
      <w:r w:rsidRPr="00522B93">
        <w:rPr>
          <w:sz w:val="26"/>
          <w:szCs w:val="26"/>
        </w:rPr>
        <w:t xml:space="preserve"> засвідчену підписом керівника страхової компанії та скріплену печаткою (за наявності). </w:t>
      </w:r>
      <w:r w:rsidR="00D326EE" w:rsidRPr="00522B93">
        <w:rPr>
          <w:sz w:val="26"/>
          <w:szCs w:val="26"/>
        </w:rPr>
        <w:t xml:space="preserve"> </w:t>
      </w:r>
    </w:p>
    <w:p w14:paraId="56CA85F2" w14:textId="77777777" w:rsidR="00522B93" w:rsidRDefault="00221DAF" w:rsidP="00522B93">
      <w:pPr>
        <w:pStyle w:val="a4"/>
        <w:numPr>
          <w:ilvl w:val="1"/>
          <w:numId w:val="12"/>
        </w:numPr>
        <w:spacing w:after="120"/>
        <w:jc w:val="both"/>
        <w:rPr>
          <w:sz w:val="26"/>
          <w:szCs w:val="26"/>
        </w:rPr>
      </w:pPr>
      <w:r w:rsidRPr="00522B93">
        <w:rPr>
          <w:sz w:val="26"/>
          <w:szCs w:val="26"/>
        </w:rPr>
        <w:lastRenderedPageBreak/>
        <w:t>Копію звіту «Дані про розрахунок платоспроможності страховика» (код IR13) за попередній звітний період (рік) та за кожен квартал поточного року, засвідчену підписом керівника страхової компанії та скріплену печаткою (за наявності).</w:t>
      </w:r>
    </w:p>
    <w:p w14:paraId="24253FD0" w14:textId="77777777" w:rsidR="00522B93" w:rsidRDefault="00D326EE" w:rsidP="00522B93">
      <w:pPr>
        <w:pStyle w:val="a4"/>
        <w:numPr>
          <w:ilvl w:val="1"/>
          <w:numId w:val="12"/>
        </w:numPr>
        <w:spacing w:after="120"/>
        <w:jc w:val="both"/>
        <w:rPr>
          <w:sz w:val="26"/>
          <w:szCs w:val="26"/>
        </w:rPr>
      </w:pPr>
      <w:r w:rsidRPr="00522B93">
        <w:rPr>
          <w:sz w:val="26"/>
          <w:szCs w:val="26"/>
        </w:rPr>
        <w:t xml:space="preserve">Довідку про рівень страхових виплат за останній календарний рік та за кожен квартал  поточного року, засвідчену </w:t>
      </w:r>
      <w:r w:rsidR="00763CBE" w:rsidRPr="00522B93">
        <w:rPr>
          <w:sz w:val="26"/>
          <w:szCs w:val="26"/>
        </w:rPr>
        <w:t>підписом керівника страхової компанії та скріплен</w:t>
      </w:r>
      <w:r w:rsidR="009863A0" w:rsidRPr="00522B93">
        <w:rPr>
          <w:sz w:val="26"/>
          <w:szCs w:val="26"/>
        </w:rPr>
        <w:t>у</w:t>
      </w:r>
      <w:r w:rsidR="00763CBE" w:rsidRPr="00522B93">
        <w:rPr>
          <w:sz w:val="26"/>
          <w:szCs w:val="26"/>
        </w:rPr>
        <w:t xml:space="preserve"> печаткою (за наявності)</w:t>
      </w:r>
      <w:r w:rsidRPr="00522B93">
        <w:rPr>
          <w:sz w:val="26"/>
          <w:szCs w:val="26"/>
        </w:rPr>
        <w:t>.</w:t>
      </w:r>
    </w:p>
    <w:p w14:paraId="1A91034B" w14:textId="77777777" w:rsidR="00522B93" w:rsidRDefault="00577775" w:rsidP="00522B93">
      <w:pPr>
        <w:pStyle w:val="a4"/>
        <w:numPr>
          <w:ilvl w:val="1"/>
          <w:numId w:val="12"/>
        </w:numPr>
        <w:spacing w:after="120"/>
        <w:jc w:val="both"/>
        <w:rPr>
          <w:sz w:val="26"/>
          <w:szCs w:val="26"/>
        </w:rPr>
      </w:pPr>
      <w:r w:rsidRPr="00522B93">
        <w:rPr>
          <w:sz w:val="26"/>
          <w:szCs w:val="26"/>
        </w:rPr>
        <w:t>Д</w:t>
      </w:r>
      <w:r w:rsidR="00D326EE" w:rsidRPr="00522B93">
        <w:rPr>
          <w:sz w:val="26"/>
          <w:szCs w:val="26"/>
        </w:rPr>
        <w:t>овідк</w:t>
      </w:r>
      <w:r w:rsidRPr="00522B93">
        <w:rPr>
          <w:sz w:val="26"/>
          <w:szCs w:val="26"/>
        </w:rPr>
        <w:t>а</w:t>
      </w:r>
      <w:r w:rsidR="00D326EE" w:rsidRPr="00522B93">
        <w:rPr>
          <w:sz w:val="26"/>
          <w:szCs w:val="26"/>
        </w:rPr>
        <w:t xml:space="preserve"> з податкової інспекції про відсутність заборгованості перед бюджетами всіх рівнів. Довідка має бути чинною на дату її надання. </w:t>
      </w:r>
    </w:p>
    <w:p w14:paraId="6C6B424B" w14:textId="74ECB9C2" w:rsidR="00522B93" w:rsidRDefault="000223D2" w:rsidP="00522B93">
      <w:pPr>
        <w:pStyle w:val="a4"/>
        <w:numPr>
          <w:ilvl w:val="1"/>
          <w:numId w:val="12"/>
        </w:numPr>
        <w:spacing w:after="120"/>
        <w:jc w:val="both"/>
        <w:rPr>
          <w:sz w:val="26"/>
          <w:szCs w:val="26"/>
        </w:rPr>
      </w:pPr>
      <w:r w:rsidRPr="00522B93">
        <w:rPr>
          <w:sz w:val="26"/>
          <w:szCs w:val="26"/>
        </w:rPr>
        <w:t>Лист</w:t>
      </w:r>
      <w:r w:rsidR="00577775" w:rsidRPr="00522B93">
        <w:rPr>
          <w:sz w:val="26"/>
          <w:szCs w:val="26"/>
        </w:rPr>
        <w:t xml:space="preserve"> </w:t>
      </w:r>
      <w:r w:rsidR="006319C4" w:rsidRPr="00522B93">
        <w:rPr>
          <w:sz w:val="26"/>
          <w:szCs w:val="26"/>
        </w:rPr>
        <w:t>Н</w:t>
      </w:r>
      <w:r w:rsidRPr="00522B93">
        <w:rPr>
          <w:sz w:val="26"/>
          <w:szCs w:val="26"/>
        </w:rPr>
        <w:t xml:space="preserve">аціонального </w:t>
      </w:r>
      <w:r w:rsidR="006319C4" w:rsidRPr="00522B93">
        <w:rPr>
          <w:sz w:val="26"/>
          <w:szCs w:val="26"/>
        </w:rPr>
        <w:t>Б</w:t>
      </w:r>
      <w:r w:rsidRPr="00522B93">
        <w:rPr>
          <w:sz w:val="26"/>
          <w:szCs w:val="26"/>
        </w:rPr>
        <w:t xml:space="preserve">анку </w:t>
      </w:r>
      <w:r w:rsidR="006319C4" w:rsidRPr="00522B93">
        <w:rPr>
          <w:sz w:val="26"/>
          <w:szCs w:val="26"/>
        </w:rPr>
        <w:t>У</w:t>
      </w:r>
      <w:r w:rsidRPr="00522B93">
        <w:rPr>
          <w:sz w:val="26"/>
          <w:szCs w:val="26"/>
        </w:rPr>
        <w:t>країни</w:t>
      </w:r>
      <w:r w:rsidR="00145286" w:rsidRPr="00522B93">
        <w:rPr>
          <w:sz w:val="26"/>
          <w:szCs w:val="26"/>
        </w:rPr>
        <w:t>,</w:t>
      </w:r>
      <w:r w:rsidR="006319C4" w:rsidRPr="00522B93">
        <w:rPr>
          <w:sz w:val="26"/>
          <w:szCs w:val="26"/>
        </w:rPr>
        <w:t xml:space="preserve"> </w:t>
      </w:r>
      <w:r w:rsidRPr="00522B93">
        <w:rPr>
          <w:sz w:val="26"/>
          <w:szCs w:val="26"/>
        </w:rPr>
        <w:t>що підтверджує</w:t>
      </w:r>
      <w:r w:rsidR="00D326EE" w:rsidRPr="00522B93">
        <w:rPr>
          <w:sz w:val="26"/>
          <w:szCs w:val="26"/>
        </w:rPr>
        <w:t xml:space="preserve"> відсутність невиконаних заходів впливу</w:t>
      </w:r>
      <w:r w:rsidRPr="00522B93">
        <w:rPr>
          <w:sz w:val="26"/>
          <w:szCs w:val="26"/>
        </w:rPr>
        <w:t xml:space="preserve"> та дотримання вимог до платоспроможності страховика (у т. ч. обов’язкові фінансові нормативи)</w:t>
      </w:r>
      <w:r w:rsidR="00BB5242">
        <w:rPr>
          <w:sz w:val="26"/>
          <w:szCs w:val="26"/>
        </w:rPr>
        <w:t>, що встановлені законодавством, який</w:t>
      </w:r>
      <w:r w:rsidR="009E480E" w:rsidRPr="00522B93">
        <w:rPr>
          <w:sz w:val="26"/>
          <w:szCs w:val="26"/>
        </w:rPr>
        <w:t xml:space="preserve"> має бути датований не більше, як за 30 календарних днів до дати направлення </w:t>
      </w:r>
      <w:r w:rsidR="00637977" w:rsidRPr="00522B93">
        <w:rPr>
          <w:sz w:val="26"/>
          <w:szCs w:val="26"/>
        </w:rPr>
        <w:t>страховою</w:t>
      </w:r>
      <w:r w:rsidR="009E480E" w:rsidRPr="00522B93">
        <w:rPr>
          <w:sz w:val="26"/>
          <w:szCs w:val="26"/>
        </w:rPr>
        <w:t xml:space="preserve"> компані</w:t>
      </w:r>
      <w:r w:rsidR="00637977" w:rsidRPr="00522B93">
        <w:rPr>
          <w:sz w:val="26"/>
          <w:szCs w:val="26"/>
        </w:rPr>
        <w:t>єю</w:t>
      </w:r>
      <w:r w:rsidR="00BB5242" w:rsidRPr="00BB5242">
        <w:rPr>
          <w:sz w:val="26"/>
          <w:szCs w:val="26"/>
        </w:rPr>
        <w:t xml:space="preserve"> </w:t>
      </w:r>
      <w:r w:rsidR="00BB5242" w:rsidRPr="00522B93">
        <w:rPr>
          <w:sz w:val="26"/>
          <w:szCs w:val="26"/>
        </w:rPr>
        <w:t>листа</w:t>
      </w:r>
      <w:r w:rsidR="00637977" w:rsidRPr="00522B93">
        <w:rPr>
          <w:sz w:val="26"/>
          <w:szCs w:val="26"/>
        </w:rPr>
        <w:t>, зазначеного у п. 4.1 Порядку</w:t>
      </w:r>
      <w:r w:rsidR="009E480E" w:rsidRPr="00522B93">
        <w:rPr>
          <w:sz w:val="26"/>
          <w:szCs w:val="26"/>
        </w:rPr>
        <w:t xml:space="preserve">. </w:t>
      </w:r>
    </w:p>
    <w:p w14:paraId="5D758882" w14:textId="1E5E9110" w:rsidR="000F3210" w:rsidRPr="00522B93" w:rsidRDefault="00CC458D" w:rsidP="00522B93">
      <w:pPr>
        <w:pStyle w:val="a4"/>
        <w:numPr>
          <w:ilvl w:val="1"/>
          <w:numId w:val="12"/>
        </w:numPr>
        <w:spacing w:after="120"/>
        <w:jc w:val="both"/>
        <w:rPr>
          <w:sz w:val="26"/>
          <w:szCs w:val="26"/>
        </w:rPr>
      </w:pPr>
      <w:r w:rsidRPr="00522B93">
        <w:rPr>
          <w:sz w:val="26"/>
          <w:szCs w:val="26"/>
        </w:rPr>
        <w:t>З</w:t>
      </w:r>
      <w:r w:rsidR="000D6D63" w:rsidRPr="00522B93">
        <w:rPr>
          <w:sz w:val="26"/>
          <w:szCs w:val="26"/>
        </w:rPr>
        <w:t>атверджен</w:t>
      </w:r>
      <w:r w:rsidRPr="00522B93">
        <w:rPr>
          <w:sz w:val="26"/>
          <w:szCs w:val="26"/>
        </w:rPr>
        <w:t>і</w:t>
      </w:r>
      <w:r w:rsidR="000D6D63" w:rsidRPr="00522B93">
        <w:rPr>
          <w:sz w:val="26"/>
          <w:szCs w:val="26"/>
        </w:rPr>
        <w:t xml:space="preserve"> </w:t>
      </w:r>
      <w:r w:rsidR="00BB5242">
        <w:rPr>
          <w:sz w:val="26"/>
          <w:szCs w:val="26"/>
        </w:rPr>
        <w:t>страховою</w:t>
      </w:r>
      <w:r w:rsidR="000D6D63" w:rsidRPr="00522B93">
        <w:rPr>
          <w:sz w:val="26"/>
          <w:szCs w:val="26"/>
        </w:rPr>
        <w:t xml:space="preserve"> компані</w:t>
      </w:r>
      <w:r w:rsidR="00BB5242">
        <w:rPr>
          <w:sz w:val="26"/>
          <w:szCs w:val="26"/>
        </w:rPr>
        <w:t>єю</w:t>
      </w:r>
      <w:r w:rsidR="000D6D63" w:rsidRPr="00522B93">
        <w:rPr>
          <w:sz w:val="26"/>
          <w:szCs w:val="26"/>
        </w:rPr>
        <w:t xml:space="preserve"> форм</w:t>
      </w:r>
      <w:r w:rsidRPr="00522B93">
        <w:rPr>
          <w:sz w:val="26"/>
          <w:szCs w:val="26"/>
        </w:rPr>
        <w:t>и</w:t>
      </w:r>
      <w:r w:rsidR="000D6D63" w:rsidRPr="00522B93">
        <w:rPr>
          <w:sz w:val="26"/>
          <w:szCs w:val="26"/>
        </w:rPr>
        <w:t xml:space="preserve"> договорів</w:t>
      </w:r>
      <w:r w:rsidR="006952A5" w:rsidRPr="00522B93">
        <w:rPr>
          <w:sz w:val="26"/>
          <w:szCs w:val="26"/>
        </w:rPr>
        <w:t xml:space="preserve"> </w:t>
      </w:r>
      <w:r w:rsidR="00BB5242">
        <w:rPr>
          <w:sz w:val="26"/>
          <w:szCs w:val="26"/>
        </w:rPr>
        <w:t>щодо</w:t>
      </w:r>
      <w:r w:rsidR="006D5D8C" w:rsidRPr="00522B93">
        <w:rPr>
          <w:sz w:val="26"/>
          <w:szCs w:val="26"/>
        </w:rPr>
        <w:t>:</w:t>
      </w:r>
      <w:r w:rsidR="000D6D63" w:rsidRPr="00522B93">
        <w:rPr>
          <w:sz w:val="26"/>
          <w:szCs w:val="26"/>
        </w:rPr>
        <w:t xml:space="preserve"> забезпечення тендерних пропозицій учасників процедур закупівель</w:t>
      </w:r>
      <w:r w:rsidR="00350C6C" w:rsidRPr="00522B93">
        <w:rPr>
          <w:sz w:val="26"/>
          <w:szCs w:val="26"/>
        </w:rPr>
        <w:t xml:space="preserve">, </w:t>
      </w:r>
      <w:r w:rsidR="000D6D63" w:rsidRPr="00522B93">
        <w:rPr>
          <w:sz w:val="26"/>
          <w:szCs w:val="26"/>
        </w:rPr>
        <w:t>забезпечення виконання договорів про закупівлю</w:t>
      </w:r>
      <w:r w:rsidR="00A9324D">
        <w:rPr>
          <w:sz w:val="26"/>
          <w:szCs w:val="26"/>
        </w:rPr>
        <w:t>,</w:t>
      </w:r>
      <w:r w:rsidR="00350C6C" w:rsidRPr="00522B93">
        <w:rPr>
          <w:sz w:val="26"/>
          <w:szCs w:val="26"/>
        </w:rPr>
        <w:t xml:space="preserve"> забезпечення повернення авансов</w:t>
      </w:r>
      <w:r w:rsidR="00BB5242">
        <w:rPr>
          <w:sz w:val="26"/>
          <w:szCs w:val="26"/>
        </w:rPr>
        <w:t>их</w:t>
      </w:r>
      <w:r w:rsidR="00350C6C" w:rsidRPr="00522B93">
        <w:rPr>
          <w:sz w:val="26"/>
          <w:szCs w:val="26"/>
        </w:rPr>
        <w:t xml:space="preserve"> платеж</w:t>
      </w:r>
      <w:r w:rsidR="00BB5242">
        <w:rPr>
          <w:sz w:val="26"/>
          <w:szCs w:val="26"/>
        </w:rPr>
        <w:t>ів</w:t>
      </w:r>
      <w:r w:rsidRPr="00522B93">
        <w:rPr>
          <w:sz w:val="26"/>
          <w:szCs w:val="26"/>
        </w:rPr>
        <w:t>.</w:t>
      </w:r>
    </w:p>
    <w:p w14:paraId="0102BF64" w14:textId="77777777" w:rsidR="00B363D6" w:rsidRPr="00FF6350" w:rsidRDefault="00B363D6" w:rsidP="000504EB">
      <w:pPr>
        <w:pStyle w:val="a4"/>
        <w:spacing w:after="120"/>
        <w:ind w:left="567" w:hanging="567"/>
        <w:jc w:val="both"/>
        <w:rPr>
          <w:sz w:val="26"/>
          <w:szCs w:val="26"/>
        </w:rPr>
      </w:pPr>
    </w:p>
    <w:p w14:paraId="617522D6" w14:textId="69DB1787" w:rsidR="00AC2B5B" w:rsidRPr="00F61BA8" w:rsidRDefault="000F3210" w:rsidP="00522B93">
      <w:pPr>
        <w:pStyle w:val="a4"/>
        <w:numPr>
          <w:ilvl w:val="0"/>
          <w:numId w:val="6"/>
        </w:numPr>
        <w:spacing w:after="120"/>
        <w:ind w:left="709" w:hanging="709"/>
        <w:jc w:val="both"/>
        <w:rPr>
          <w:b/>
          <w:i/>
          <w:sz w:val="26"/>
          <w:szCs w:val="26"/>
        </w:rPr>
      </w:pPr>
      <w:r w:rsidRPr="00F61BA8">
        <w:rPr>
          <w:b/>
          <w:i/>
          <w:sz w:val="26"/>
          <w:szCs w:val="26"/>
        </w:rPr>
        <w:t>В</w:t>
      </w:r>
      <w:r w:rsidR="00014DB2" w:rsidRPr="00F61BA8">
        <w:rPr>
          <w:b/>
          <w:i/>
          <w:sz w:val="26"/>
          <w:szCs w:val="26"/>
        </w:rPr>
        <w:t xml:space="preserve">имоги </w:t>
      </w:r>
      <w:r w:rsidR="00BC1D7A" w:rsidRPr="00F61BA8">
        <w:rPr>
          <w:b/>
          <w:i/>
          <w:sz w:val="26"/>
          <w:szCs w:val="26"/>
        </w:rPr>
        <w:t>до</w:t>
      </w:r>
      <w:r w:rsidR="00014DB2" w:rsidRPr="00F61BA8">
        <w:rPr>
          <w:b/>
          <w:i/>
          <w:sz w:val="26"/>
          <w:szCs w:val="26"/>
        </w:rPr>
        <w:t xml:space="preserve"> страхов</w:t>
      </w:r>
      <w:r w:rsidR="00BC1D7A" w:rsidRPr="00F61BA8">
        <w:rPr>
          <w:b/>
          <w:i/>
          <w:sz w:val="26"/>
          <w:szCs w:val="26"/>
        </w:rPr>
        <w:t>ої</w:t>
      </w:r>
      <w:r w:rsidR="00014DB2" w:rsidRPr="00F61BA8">
        <w:rPr>
          <w:b/>
          <w:i/>
          <w:sz w:val="26"/>
          <w:szCs w:val="26"/>
        </w:rPr>
        <w:t xml:space="preserve"> гаранті</w:t>
      </w:r>
      <w:r w:rsidR="00BC1D7A" w:rsidRPr="00F61BA8">
        <w:rPr>
          <w:b/>
          <w:i/>
          <w:sz w:val="26"/>
          <w:szCs w:val="26"/>
        </w:rPr>
        <w:t>ї</w:t>
      </w:r>
    </w:p>
    <w:p w14:paraId="12B7488B" w14:textId="0ACC540C" w:rsidR="00522B93" w:rsidRPr="00F61BA8" w:rsidRDefault="008301AC" w:rsidP="00522B93">
      <w:pPr>
        <w:pStyle w:val="a4"/>
        <w:numPr>
          <w:ilvl w:val="1"/>
          <w:numId w:val="13"/>
        </w:numPr>
        <w:spacing w:after="120"/>
        <w:jc w:val="both"/>
        <w:rPr>
          <w:sz w:val="26"/>
          <w:szCs w:val="26"/>
        </w:rPr>
      </w:pPr>
      <w:r w:rsidRPr="00F61BA8">
        <w:rPr>
          <w:sz w:val="26"/>
          <w:szCs w:val="26"/>
        </w:rPr>
        <w:t>Страхові</w:t>
      </w:r>
      <w:r w:rsidR="00350C6C" w:rsidRPr="00F61BA8">
        <w:rPr>
          <w:sz w:val="26"/>
          <w:szCs w:val="26"/>
        </w:rPr>
        <w:t xml:space="preserve"> компанії, </w:t>
      </w:r>
      <w:r w:rsidR="00350C6C" w:rsidRPr="00F61BA8">
        <w:rPr>
          <w:rFonts w:eastAsiaTheme="minorHAnsi"/>
          <w:sz w:val="26"/>
          <w:szCs w:val="26"/>
          <w:lang w:eastAsia="en-US"/>
        </w:rPr>
        <w:t>що включені до Переліку, повинні надавати страхові гарантії згідно із зразком (додатки 1</w:t>
      </w:r>
      <w:r w:rsidR="00D369E8" w:rsidRPr="00F61BA8">
        <w:rPr>
          <w:rFonts w:eastAsiaTheme="minorHAnsi"/>
          <w:sz w:val="26"/>
          <w:szCs w:val="26"/>
          <w:lang w:eastAsia="en-US"/>
        </w:rPr>
        <w:t>, 2 та</w:t>
      </w:r>
      <w:r w:rsidR="00350C6C" w:rsidRPr="00F61BA8">
        <w:rPr>
          <w:rFonts w:eastAsiaTheme="minorHAnsi"/>
          <w:sz w:val="26"/>
          <w:szCs w:val="26"/>
          <w:lang w:eastAsia="en-US"/>
        </w:rPr>
        <w:t xml:space="preserve"> </w:t>
      </w:r>
      <w:r w:rsidR="00D369E8" w:rsidRPr="00F61BA8">
        <w:rPr>
          <w:rFonts w:eastAsiaTheme="minorHAnsi"/>
          <w:sz w:val="26"/>
          <w:szCs w:val="26"/>
          <w:lang w:eastAsia="en-US"/>
        </w:rPr>
        <w:t>3</w:t>
      </w:r>
      <w:r w:rsidR="00915858" w:rsidRPr="00F61BA8">
        <w:rPr>
          <w:rFonts w:eastAsiaTheme="minorHAnsi"/>
          <w:sz w:val="26"/>
          <w:szCs w:val="26"/>
          <w:lang w:eastAsia="en-US"/>
        </w:rPr>
        <w:t xml:space="preserve"> до Порядку)</w:t>
      </w:r>
      <w:r w:rsidR="00A9324D" w:rsidRPr="00F61BA8">
        <w:rPr>
          <w:rFonts w:eastAsiaTheme="minorHAnsi"/>
          <w:sz w:val="26"/>
          <w:szCs w:val="26"/>
          <w:lang w:eastAsia="en-US"/>
        </w:rPr>
        <w:t xml:space="preserve"> </w:t>
      </w:r>
      <w:r w:rsidR="00350C6C" w:rsidRPr="00F61BA8">
        <w:rPr>
          <w:rFonts w:eastAsiaTheme="minorHAnsi"/>
          <w:sz w:val="26"/>
          <w:szCs w:val="26"/>
          <w:lang w:eastAsia="en-US"/>
        </w:rPr>
        <w:t>з урахуванням вимог</w:t>
      </w:r>
      <w:r w:rsidR="00BB5242" w:rsidRPr="00F61BA8">
        <w:rPr>
          <w:rFonts w:eastAsiaTheme="minorHAnsi"/>
          <w:sz w:val="26"/>
          <w:szCs w:val="26"/>
          <w:lang w:eastAsia="en-US"/>
        </w:rPr>
        <w:t xml:space="preserve"> законодавства України </w:t>
      </w:r>
      <w:r w:rsidR="00F61BA8" w:rsidRPr="00F61BA8">
        <w:rPr>
          <w:rFonts w:eastAsiaTheme="minorHAnsi"/>
          <w:sz w:val="26"/>
          <w:szCs w:val="26"/>
          <w:lang w:eastAsia="en-US"/>
        </w:rPr>
        <w:t>та</w:t>
      </w:r>
      <w:r w:rsidR="00350C6C" w:rsidRPr="00F61BA8">
        <w:rPr>
          <w:rFonts w:eastAsiaTheme="minorHAnsi"/>
          <w:sz w:val="26"/>
          <w:szCs w:val="26"/>
          <w:lang w:eastAsia="en-US"/>
        </w:rPr>
        <w:t xml:space="preserve"> п. 5 Порядку. Страхові гарантії, які не відповідають зразкам (</w:t>
      </w:r>
      <w:r w:rsidR="00D369E8" w:rsidRPr="00F61BA8">
        <w:rPr>
          <w:rFonts w:eastAsiaTheme="minorHAnsi"/>
          <w:sz w:val="26"/>
          <w:szCs w:val="26"/>
          <w:lang w:eastAsia="en-US"/>
        </w:rPr>
        <w:t>додатки 1, 2 та 3 до Порядку</w:t>
      </w:r>
      <w:r w:rsidR="00350C6C" w:rsidRPr="00F61BA8">
        <w:rPr>
          <w:rFonts w:eastAsiaTheme="minorHAnsi"/>
          <w:sz w:val="26"/>
          <w:szCs w:val="26"/>
          <w:lang w:eastAsia="en-US"/>
        </w:rPr>
        <w:t xml:space="preserve">) та/або зазначеним у п. 5 Порядку вимогам, </w:t>
      </w:r>
      <w:r w:rsidR="000D7A1A" w:rsidRPr="00F61BA8">
        <w:rPr>
          <w:rFonts w:eastAsiaTheme="minorHAnsi"/>
          <w:sz w:val="26"/>
          <w:szCs w:val="26"/>
          <w:lang w:eastAsia="en-US"/>
        </w:rPr>
        <w:t>АТ</w:t>
      </w:r>
      <w:r w:rsidR="00350C6C" w:rsidRPr="00F61BA8">
        <w:rPr>
          <w:rFonts w:eastAsiaTheme="minorHAnsi"/>
          <w:sz w:val="26"/>
          <w:szCs w:val="26"/>
          <w:lang w:eastAsia="en-US"/>
        </w:rPr>
        <w:t xml:space="preserve"> «НАЕК «Енергоатом» не </w:t>
      </w:r>
      <w:proofErr w:type="spellStart"/>
      <w:r w:rsidR="00350C6C" w:rsidRPr="00F61BA8">
        <w:rPr>
          <w:rFonts w:eastAsiaTheme="minorHAnsi"/>
          <w:sz w:val="26"/>
          <w:szCs w:val="26"/>
          <w:lang w:eastAsia="en-US"/>
        </w:rPr>
        <w:t>прийматимуться</w:t>
      </w:r>
      <w:proofErr w:type="spellEnd"/>
      <w:r w:rsidR="00350C6C" w:rsidRPr="00F61BA8">
        <w:rPr>
          <w:rFonts w:eastAsiaTheme="minorHAnsi"/>
          <w:sz w:val="26"/>
          <w:szCs w:val="26"/>
          <w:lang w:eastAsia="en-US"/>
        </w:rPr>
        <w:t xml:space="preserve"> (відхилятимуться)</w:t>
      </w:r>
      <w:r w:rsidR="00045F7F" w:rsidRPr="00F61BA8">
        <w:rPr>
          <w:sz w:val="26"/>
          <w:szCs w:val="26"/>
        </w:rPr>
        <w:t>.</w:t>
      </w:r>
      <w:r w:rsidRPr="00F61BA8">
        <w:rPr>
          <w:sz w:val="26"/>
          <w:szCs w:val="26"/>
        </w:rPr>
        <w:t xml:space="preserve"> </w:t>
      </w:r>
    </w:p>
    <w:p w14:paraId="4FA52678" w14:textId="7667B61C" w:rsidR="00522B93" w:rsidRDefault="004A326A" w:rsidP="00522B93">
      <w:pPr>
        <w:pStyle w:val="a4"/>
        <w:numPr>
          <w:ilvl w:val="1"/>
          <w:numId w:val="13"/>
        </w:numPr>
        <w:spacing w:after="120"/>
        <w:jc w:val="both"/>
        <w:rPr>
          <w:sz w:val="26"/>
          <w:szCs w:val="26"/>
        </w:rPr>
      </w:pPr>
      <w:r w:rsidRPr="00522B93">
        <w:rPr>
          <w:sz w:val="26"/>
          <w:szCs w:val="26"/>
        </w:rPr>
        <w:t>Страхові компанії можуть вносити зміни до умов страхових гарантій за наявності відповідного рішення</w:t>
      </w:r>
      <w:r w:rsidR="00657695">
        <w:rPr>
          <w:sz w:val="26"/>
          <w:szCs w:val="26"/>
        </w:rPr>
        <w:t xml:space="preserve"> уповноваженої особи</w:t>
      </w:r>
      <w:r w:rsidR="00641ACD">
        <w:rPr>
          <w:sz w:val="26"/>
          <w:szCs w:val="26"/>
        </w:rPr>
        <w:t xml:space="preserve">, відповідальної за організацію та проведення </w:t>
      </w:r>
      <w:r w:rsidR="00657695">
        <w:rPr>
          <w:sz w:val="26"/>
          <w:szCs w:val="26"/>
        </w:rPr>
        <w:t xml:space="preserve"> </w:t>
      </w:r>
      <w:r w:rsidR="00641ACD">
        <w:rPr>
          <w:sz w:val="26"/>
          <w:szCs w:val="26"/>
        </w:rPr>
        <w:t>процедур закупівель</w:t>
      </w:r>
      <w:r w:rsidR="00657695">
        <w:rPr>
          <w:sz w:val="26"/>
          <w:szCs w:val="26"/>
        </w:rPr>
        <w:t xml:space="preserve"> або внесення змін до договору </w:t>
      </w:r>
      <w:r w:rsidR="009917F1">
        <w:rPr>
          <w:sz w:val="26"/>
          <w:szCs w:val="26"/>
        </w:rPr>
        <w:t>про закупівлю</w:t>
      </w:r>
      <w:r w:rsidRPr="00522B93">
        <w:rPr>
          <w:sz w:val="26"/>
          <w:szCs w:val="26"/>
        </w:rPr>
        <w:t>.</w:t>
      </w:r>
    </w:p>
    <w:p w14:paraId="31593813" w14:textId="77777777" w:rsidR="00522B93" w:rsidRDefault="00C1145B" w:rsidP="00522B93">
      <w:pPr>
        <w:pStyle w:val="a4"/>
        <w:numPr>
          <w:ilvl w:val="1"/>
          <w:numId w:val="13"/>
        </w:numPr>
        <w:spacing w:after="120"/>
        <w:jc w:val="both"/>
        <w:rPr>
          <w:sz w:val="26"/>
          <w:szCs w:val="26"/>
        </w:rPr>
      </w:pPr>
      <w:r w:rsidRPr="00522B93">
        <w:rPr>
          <w:sz w:val="26"/>
          <w:szCs w:val="26"/>
        </w:rPr>
        <w:t>Страхова гарантія, яка надається учасником процедури закупівлі</w:t>
      </w:r>
      <w:r w:rsidR="00F369A2" w:rsidRPr="00522B93">
        <w:rPr>
          <w:sz w:val="26"/>
          <w:szCs w:val="26"/>
        </w:rPr>
        <w:t>,</w:t>
      </w:r>
      <w:r w:rsidRPr="00522B93">
        <w:rPr>
          <w:sz w:val="26"/>
          <w:szCs w:val="26"/>
        </w:rPr>
        <w:t xml:space="preserve"> повинна бути чинною на кінцеву дату подання тендерної пропозиції (</w:t>
      </w:r>
      <w:r w:rsidR="00F369A2" w:rsidRPr="00522B93">
        <w:rPr>
          <w:sz w:val="26"/>
          <w:szCs w:val="26"/>
        </w:rPr>
        <w:t>г</w:t>
      </w:r>
      <w:r w:rsidRPr="00522B93">
        <w:rPr>
          <w:sz w:val="26"/>
          <w:szCs w:val="26"/>
        </w:rPr>
        <w:t>арантія набирає чинності після внесення страхового платежу). Строк дії страхової гарантії повинен відповідати вимогам тендерної документації.</w:t>
      </w:r>
    </w:p>
    <w:p w14:paraId="76D4BDEF" w14:textId="77777777" w:rsidR="00522B93" w:rsidRDefault="00A94D97" w:rsidP="00522B93">
      <w:pPr>
        <w:pStyle w:val="a4"/>
        <w:numPr>
          <w:ilvl w:val="1"/>
          <w:numId w:val="13"/>
        </w:numPr>
        <w:spacing w:after="120"/>
        <w:jc w:val="both"/>
        <w:rPr>
          <w:sz w:val="26"/>
          <w:szCs w:val="26"/>
        </w:rPr>
      </w:pPr>
      <w:r w:rsidRPr="00522B93">
        <w:rPr>
          <w:sz w:val="26"/>
          <w:szCs w:val="26"/>
        </w:rPr>
        <w:t xml:space="preserve">Страхова гарантія </w:t>
      </w:r>
      <w:r w:rsidR="001D039B" w:rsidRPr="00522B93">
        <w:rPr>
          <w:sz w:val="26"/>
          <w:szCs w:val="26"/>
        </w:rPr>
        <w:t>повинна бути безвідкличною.</w:t>
      </w:r>
      <w:r w:rsidR="006560A7" w:rsidRPr="00522B93">
        <w:rPr>
          <w:sz w:val="26"/>
          <w:szCs w:val="26"/>
        </w:rPr>
        <w:t xml:space="preserve"> </w:t>
      </w:r>
    </w:p>
    <w:p w14:paraId="63A35911" w14:textId="6F5F85A2" w:rsidR="00522B93" w:rsidRDefault="00C60120" w:rsidP="00522B93">
      <w:pPr>
        <w:pStyle w:val="a4"/>
        <w:numPr>
          <w:ilvl w:val="1"/>
          <w:numId w:val="13"/>
        </w:numPr>
        <w:spacing w:after="120"/>
        <w:jc w:val="both"/>
        <w:rPr>
          <w:sz w:val="26"/>
          <w:szCs w:val="26"/>
        </w:rPr>
      </w:pPr>
      <w:r w:rsidRPr="00522B93">
        <w:rPr>
          <w:sz w:val="26"/>
          <w:szCs w:val="26"/>
        </w:rPr>
        <w:t>Умови</w:t>
      </w:r>
      <w:r w:rsidR="001D039B" w:rsidRPr="00522B93">
        <w:rPr>
          <w:sz w:val="26"/>
          <w:szCs w:val="26"/>
        </w:rPr>
        <w:t xml:space="preserve"> страхової гарантії (</w:t>
      </w:r>
      <w:r w:rsidR="00106434" w:rsidRPr="00522B93">
        <w:rPr>
          <w:sz w:val="26"/>
          <w:szCs w:val="26"/>
        </w:rPr>
        <w:t>страхові</w:t>
      </w:r>
      <w:r w:rsidR="001D039B" w:rsidRPr="00522B93">
        <w:rPr>
          <w:sz w:val="26"/>
          <w:szCs w:val="26"/>
        </w:rPr>
        <w:t xml:space="preserve"> </w:t>
      </w:r>
      <w:r w:rsidR="00D369E8" w:rsidRPr="00522B93">
        <w:rPr>
          <w:sz w:val="26"/>
          <w:szCs w:val="26"/>
        </w:rPr>
        <w:t>випадки</w:t>
      </w:r>
      <w:r w:rsidR="001D039B" w:rsidRPr="00522B93">
        <w:rPr>
          <w:sz w:val="26"/>
          <w:szCs w:val="26"/>
        </w:rPr>
        <w:t>, ви</w:t>
      </w:r>
      <w:r w:rsidR="00DD6A98" w:rsidRPr="00522B93">
        <w:rPr>
          <w:sz w:val="26"/>
          <w:szCs w:val="26"/>
        </w:rPr>
        <w:t>нятки</w:t>
      </w:r>
      <w:r w:rsidR="001D039B" w:rsidRPr="00522B93">
        <w:rPr>
          <w:sz w:val="26"/>
          <w:szCs w:val="26"/>
        </w:rPr>
        <w:t xml:space="preserve">, термін дії </w:t>
      </w:r>
      <w:r w:rsidR="0004265F" w:rsidRPr="00522B93">
        <w:rPr>
          <w:sz w:val="26"/>
          <w:szCs w:val="26"/>
        </w:rPr>
        <w:t>тощо</w:t>
      </w:r>
      <w:r w:rsidR="001D039B" w:rsidRPr="00522B93">
        <w:rPr>
          <w:sz w:val="26"/>
          <w:szCs w:val="26"/>
        </w:rPr>
        <w:t>) повин</w:t>
      </w:r>
      <w:r w:rsidRPr="00522B93">
        <w:rPr>
          <w:sz w:val="26"/>
          <w:szCs w:val="26"/>
        </w:rPr>
        <w:t>ні</w:t>
      </w:r>
      <w:r w:rsidR="001D039B" w:rsidRPr="00522B93">
        <w:rPr>
          <w:sz w:val="26"/>
          <w:szCs w:val="26"/>
        </w:rPr>
        <w:t xml:space="preserve"> </w:t>
      </w:r>
      <w:r w:rsidR="00BB5242">
        <w:rPr>
          <w:sz w:val="26"/>
          <w:szCs w:val="26"/>
        </w:rPr>
        <w:t>відповідати умовам</w:t>
      </w:r>
      <w:r w:rsidR="001D039B" w:rsidRPr="00522B93">
        <w:rPr>
          <w:sz w:val="26"/>
          <w:szCs w:val="26"/>
        </w:rPr>
        <w:t xml:space="preserve"> договору страхування відповідальності перед третіми особами</w:t>
      </w:r>
      <w:r w:rsidR="00C839B7" w:rsidRPr="00522B93">
        <w:rPr>
          <w:sz w:val="26"/>
          <w:szCs w:val="26"/>
        </w:rPr>
        <w:t>,</w:t>
      </w:r>
      <w:r w:rsidRPr="00522B93">
        <w:rPr>
          <w:sz w:val="26"/>
          <w:szCs w:val="26"/>
        </w:rPr>
        <w:t xml:space="preserve"> на підставі якого</w:t>
      </w:r>
      <w:r w:rsidR="00857B19" w:rsidRPr="00522B93">
        <w:rPr>
          <w:sz w:val="26"/>
          <w:szCs w:val="26"/>
        </w:rPr>
        <w:t xml:space="preserve"> була видана страхова гарантія.</w:t>
      </w:r>
    </w:p>
    <w:p w14:paraId="2DAE447D" w14:textId="4DACF309" w:rsidR="00522B93" w:rsidRDefault="00F544ED" w:rsidP="00522B93">
      <w:pPr>
        <w:pStyle w:val="a4"/>
        <w:numPr>
          <w:ilvl w:val="1"/>
          <w:numId w:val="13"/>
        </w:numPr>
        <w:spacing w:after="120"/>
        <w:jc w:val="both"/>
        <w:rPr>
          <w:sz w:val="26"/>
          <w:szCs w:val="26"/>
        </w:rPr>
      </w:pPr>
      <w:r w:rsidRPr="00522B93">
        <w:rPr>
          <w:sz w:val="26"/>
          <w:szCs w:val="26"/>
        </w:rPr>
        <w:t xml:space="preserve">Страхові випадки та </w:t>
      </w:r>
      <w:r w:rsidR="00045F7F" w:rsidRPr="00522B93">
        <w:rPr>
          <w:sz w:val="26"/>
          <w:szCs w:val="26"/>
        </w:rPr>
        <w:t>ви</w:t>
      </w:r>
      <w:r w:rsidR="009863A0" w:rsidRPr="00522B93">
        <w:rPr>
          <w:sz w:val="26"/>
          <w:szCs w:val="26"/>
        </w:rPr>
        <w:t>нятки</w:t>
      </w:r>
      <w:r w:rsidR="00045F7F" w:rsidRPr="00522B93">
        <w:rPr>
          <w:sz w:val="26"/>
          <w:szCs w:val="26"/>
        </w:rPr>
        <w:t xml:space="preserve">, які </w:t>
      </w:r>
      <w:r w:rsidR="009863A0" w:rsidRPr="00522B93">
        <w:rPr>
          <w:sz w:val="26"/>
          <w:szCs w:val="26"/>
        </w:rPr>
        <w:t>зазначаються</w:t>
      </w:r>
      <w:r w:rsidR="00045F7F" w:rsidRPr="00522B93">
        <w:rPr>
          <w:sz w:val="26"/>
          <w:szCs w:val="26"/>
        </w:rPr>
        <w:t xml:space="preserve"> в страховій </w:t>
      </w:r>
      <w:r w:rsidR="00B165CB" w:rsidRPr="00522B93">
        <w:rPr>
          <w:sz w:val="26"/>
          <w:szCs w:val="26"/>
        </w:rPr>
        <w:t>гарантії</w:t>
      </w:r>
      <w:r w:rsidR="00C839B7" w:rsidRPr="00522B93">
        <w:rPr>
          <w:sz w:val="26"/>
          <w:szCs w:val="26"/>
        </w:rPr>
        <w:t xml:space="preserve"> </w:t>
      </w:r>
      <w:r w:rsidR="004C346C" w:rsidRPr="00522B93">
        <w:rPr>
          <w:sz w:val="26"/>
          <w:szCs w:val="26"/>
        </w:rPr>
        <w:t>забезпечення тендерної пропозиції</w:t>
      </w:r>
      <w:r w:rsidR="00045F7F" w:rsidRPr="00522B93">
        <w:rPr>
          <w:sz w:val="26"/>
          <w:szCs w:val="26"/>
        </w:rPr>
        <w:t>,</w:t>
      </w:r>
      <w:r w:rsidR="004C346C" w:rsidRPr="00522B93">
        <w:rPr>
          <w:sz w:val="26"/>
          <w:szCs w:val="26"/>
        </w:rPr>
        <w:t xml:space="preserve"> </w:t>
      </w:r>
      <w:r w:rsidR="00B165CB" w:rsidRPr="00522B93">
        <w:rPr>
          <w:sz w:val="26"/>
          <w:szCs w:val="26"/>
        </w:rPr>
        <w:t>повинні відповідати вимогам статті 25 Закону України «Про публічні закупівлі»</w:t>
      </w:r>
      <w:r w:rsidR="007C2B7D" w:rsidRPr="00522B93">
        <w:rPr>
          <w:sz w:val="26"/>
          <w:szCs w:val="26"/>
        </w:rPr>
        <w:t xml:space="preserve"> </w:t>
      </w:r>
      <w:r w:rsidR="007C2B7D" w:rsidRPr="00522B93">
        <w:rPr>
          <w:sz w:val="26"/>
          <w:szCs w:val="26"/>
          <w:lang w:eastAsia="uk-UA"/>
        </w:rPr>
        <w:t>з урахуванням положень</w:t>
      </w:r>
      <w:r w:rsidR="00857B19" w:rsidRPr="00522B93">
        <w:rPr>
          <w:sz w:val="26"/>
          <w:szCs w:val="26"/>
          <w:lang w:eastAsia="uk-UA"/>
        </w:rPr>
        <w:t xml:space="preserve"> </w:t>
      </w:r>
      <w:hyperlink r:id="rId6" w:anchor="n615" w:history="1">
        <w:r w:rsidR="007C2B7D" w:rsidRPr="00522B93">
          <w:rPr>
            <w:sz w:val="26"/>
            <w:szCs w:val="26"/>
            <w:lang w:eastAsia="uk-UA"/>
          </w:rPr>
          <w:t>пункту 47</w:t>
        </w:r>
      </w:hyperlink>
      <w:r w:rsidR="00857B19" w:rsidRPr="00522B93">
        <w:rPr>
          <w:sz w:val="26"/>
          <w:szCs w:val="26"/>
          <w:lang w:eastAsia="uk-UA"/>
        </w:rPr>
        <w:t xml:space="preserve"> </w:t>
      </w:r>
      <w:r w:rsidR="007C2B7D" w:rsidRPr="00522B93">
        <w:rPr>
          <w:w w:val="105"/>
          <w:sz w:val="26"/>
          <w:szCs w:val="26"/>
        </w:rPr>
        <w:t>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№ 1178 (далі – Особливості)</w:t>
      </w:r>
      <w:r w:rsidR="00C60120" w:rsidRPr="00522B93">
        <w:rPr>
          <w:sz w:val="26"/>
          <w:szCs w:val="26"/>
        </w:rPr>
        <w:t>.</w:t>
      </w:r>
    </w:p>
    <w:p w14:paraId="450B5E89" w14:textId="37122E87" w:rsidR="00522B93" w:rsidRDefault="00795FD8" w:rsidP="00522B93">
      <w:pPr>
        <w:pStyle w:val="a4"/>
        <w:numPr>
          <w:ilvl w:val="1"/>
          <w:numId w:val="13"/>
        </w:numPr>
        <w:spacing w:after="120"/>
        <w:jc w:val="both"/>
        <w:rPr>
          <w:sz w:val="26"/>
          <w:szCs w:val="26"/>
        </w:rPr>
      </w:pPr>
      <w:r w:rsidRPr="00522B93">
        <w:rPr>
          <w:sz w:val="26"/>
          <w:szCs w:val="26"/>
        </w:rPr>
        <w:t xml:space="preserve">Страхові випадки та </w:t>
      </w:r>
      <w:r w:rsidR="00045F7F" w:rsidRPr="00522B93">
        <w:rPr>
          <w:sz w:val="26"/>
          <w:szCs w:val="26"/>
        </w:rPr>
        <w:t>ви</w:t>
      </w:r>
      <w:r w:rsidR="009863A0" w:rsidRPr="00522B93">
        <w:rPr>
          <w:sz w:val="26"/>
          <w:szCs w:val="26"/>
        </w:rPr>
        <w:t>нятки</w:t>
      </w:r>
      <w:r w:rsidR="00045F7F" w:rsidRPr="00522B93">
        <w:rPr>
          <w:sz w:val="26"/>
          <w:szCs w:val="26"/>
        </w:rPr>
        <w:t xml:space="preserve">, які </w:t>
      </w:r>
      <w:r w:rsidR="009863A0" w:rsidRPr="00522B93">
        <w:rPr>
          <w:sz w:val="26"/>
          <w:szCs w:val="26"/>
        </w:rPr>
        <w:t>зазначаються</w:t>
      </w:r>
      <w:r w:rsidR="002B011D" w:rsidRPr="00522B93">
        <w:rPr>
          <w:sz w:val="26"/>
          <w:szCs w:val="26"/>
        </w:rPr>
        <w:t xml:space="preserve"> в страховій</w:t>
      </w:r>
      <w:r w:rsidR="00045F7F" w:rsidRPr="00522B93">
        <w:rPr>
          <w:sz w:val="26"/>
          <w:szCs w:val="26"/>
        </w:rPr>
        <w:t xml:space="preserve"> </w:t>
      </w:r>
      <w:r w:rsidRPr="00522B93">
        <w:rPr>
          <w:sz w:val="26"/>
          <w:szCs w:val="26"/>
        </w:rPr>
        <w:t>гаранті</w:t>
      </w:r>
      <w:r w:rsidR="002B011D" w:rsidRPr="00522B93">
        <w:rPr>
          <w:sz w:val="26"/>
          <w:szCs w:val="26"/>
        </w:rPr>
        <w:t>ї</w:t>
      </w:r>
      <w:r w:rsidRPr="00522B93">
        <w:rPr>
          <w:sz w:val="26"/>
          <w:szCs w:val="26"/>
        </w:rPr>
        <w:t xml:space="preserve"> </w:t>
      </w:r>
      <w:r w:rsidR="004C346C" w:rsidRPr="00522B93">
        <w:rPr>
          <w:sz w:val="26"/>
          <w:szCs w:val="26"/>
        </w:rPr>
        <w:t xml:space="preserve"> </w:t>
      </w:r>
      <w:r w:rsidRPr="00522B93">
        <w:rPr>
          <w:sz w:val="26"/>
          <w:szCs w:val="26"/>
        </w:rPr>
        <w:t>забезпечення виконання договору про закупівлю</w:t>
      </w:r>
      <w:r w:rsidR="00522B93">
        <w:rPr>
          <w:sz w:val="26"/>
          <w:szCs w:val="26"/>
        </w:rPr>
        <w:t>,</w:t>
      </w:r>
      <w:r w:rsidR="0062074A" w:rsidRPr="00522B93">
        <w:rPr>
          <w:sz w:val="26"/>
          <w:szCs w:val="26"/>
        </w:rPr>
        <w:t xml:space="preserve"> </w:t>
      </w:r>
      <w:r w:rsidRPr="00522B93">
        <w:rPr>
          <w:sz w:val="26"/>
          <w:szCs w:val="26"/>
        </w:rPr>
        <w:t xml:space="preserve">повинні відповідати економічним інтересам </w:t>
      </w:r>
      <w:r w:rsidR="0038093A" w:rsidRPr="00522B93">
        <w:rPr>
          <w:sz w:val="26"/>
          <w:szCs w:val="26"/>
        </w:rPr>
        <w:t>АТ</w:t>
      </w:r>
      <w:r w:rsidR="002B011D" w:rsidRPr="00522B93">
        <w:rPr>
          <w:sz w:val="26"/>
          <w:szCs w:val="26"/>
          <w:lang w:val="ru-RU"/>
        </w:rPr>
        <w:t> </w:t>
      </w:r>
      <w:r w:rsidRPr="00522B93">
        <w:rPr>
          <w:sz w:val="26"/>
          <w:szCs w:val="26"/>
        </w:rPr>
        <w:t>«НАЕК «Енергоатом»</w:t>
      </w:r>
      <w:r w:rsidR="004C346C" w:rsidRPr="00522B93">
        <w:rPr>
          <w:sz w:val="26"/>
          <w:szCs w:val="26"/>
        </w:rPr>
        <w:t xml:space="preserve">, умовам </w:t>
      </w:r>
      <w:r w:rsidR="00C839B7" w:rsidRPr="00522B93">
        <w:rPr>
          <w:sz w:val="26"/>
          <w:szCs w:val="26"/>
        </w:rPr>
        <w:t xml:space="preserve">тендерної документації та </w:t>
      </w:r>
      <w:r w:rsidR="002B011D" w:rsidRPr="00522B93">
        <w:rPr>
          <w:sz w:val="26"/>
          <w:szCs w:val="26"/>
        </w:rPr>
        <w:t>договору</w:t>
      </w:r>
      <w:r w:rsidR="004C346C" w:rsidRPr="00522B93">
        <w:rPr>
          <w:sz w:val="26"/>
          <w:szCs w:val="26"/>
        </w:rPr>
        <w:t xml:space="preserve"> про закупівлю</w:t>
      </w:r>
      <w:r w:rsidR="00C839B7" w:rsidRPr="00522B93">
        <w:rPr>
          <w:sz w:val="26"/>
          <w:szCs w:val="26"/>
        </w:rPr>
        <w:t>, а</w:t>
      </w:r>
      <w:r w:rsidRPr="00522B93">
        <w:rPr>
          <w:sz w:val="26"/>
          <w:szCs w:val="26"/>
        </w:rPr>
        <w:t xml:space="preserve"> та</w:t>
      </w:r>
      <w:r w:rsidR="00C839B7" w:rsidRPr="00522B93">
        <w:rPr>
          <w:sz w:val="26"/>
          <w:szCs w:val="26"/>
        </w:rPr>
        <w:t>кож</w:t>
      </w:r>
      <w:r w:rsidRPr="00522B93">
        <w:rPr>
          <w:sz w:val="26"/>
          <w:szCs w:val="26"/>
        </w:rPr>
        <w:t xml:space="preserve"> вимогам статті 27 Закону України «Про публічні закупівлі»</w:t>
      </w:r>
      <w:r w:rsidR="007C2B7D" w:rsidRPr="00522B93">
        <w:rPr>
          <w:sz w:val="26"/>
          <w:szCs w:val="26"/>
        </w:rPr>
        <w:t xml:space="preserve"> </w:t>
      </w:r>
      <w:r w:rsidR="007C2B7D" w:rsidRPr="00522B93">
        <w:rPr>
          <w:color w:val="333333"/>
          <w:sz w:val="26"/>
          <w:szCs w:val="26"/>
          <w:lang w:eastAsia="uk-UA"/>
        </w:rPr>
        <w:t xml:space="preserve">з урахуванням </w:t>
      </w:r>
      <w:r w:rsidR="007C2B7D" w:rsidRPr="00522B93">
        <w:rPr>
          <w:sz w:val="26"/>
          <w:szCs w:val="26"/>
          <w:lang w:eastAsia="uk-UA"/>
        </w:rPr>
        <w:t>положень</w:t>
      </w:r>
      <w:r w:rsidR="00857B19" w:rsidRPr="00522B93">
        <w:rPr>
          <w:sz w:val="26"/>
          <w:szCs w:val="26"/>
          <w:lang w:eastAsia="uk-UA"/>
        </w:rPr>
        <w:t xml:space="preserve"> </w:t>
      </w:r>
      <w:r w:rsidR="007C2B7D" w:rsidRPr="00522B93">
        <w:rPr>
          <w:sz w:val="26"/>
          <w:szCs w:val="26"/>
          <w:lang w:eastAsia="uk-UA"/>
        </w:rPr>
        <w:t>пункту 21 Особливостей.</w:t>
      </w:r>
      <w:r w:rsidR="002B011D" w:rsidRPr="00522B93">
        <w:rPr>
          <w:sz w:val="26"/>
          <w:szCs w:val="26"/>
        </w:rPr>
        <w:t xml:space="preserve"> </w:t>
      </w:r>
    </w:p>
    <w:p w14:paraId="631C3BE5" w14:textId="4F8FC7F6" w:rsidR="00522B93" w:rsidRDefault="0008440B" w:rsidP="00522B93">
      <w:pPr>
        <w:pStyle w:val="a4"/>
        <w:numPr>
          <w:ilvl w:val="1"/>
          <w:numId w:val="13"/>
        </w:numPr>
        <w:spacing w:after="120"/>
        <w:jc w:val="both"/>
        <w:rPr>
          <w:sz w:val="26"/>
          <w:szCs w:val="26"/>
        </w:rPr>
      </w:pPr>
      <w:r w:rsidRPr="00522B93">
        <w:rPr>
          <w:sz w:val="26"/>
          <w:szCs w:val="26"/>
        </w:rPr>
        <w:lastRenderedPageBreak/>
        <w:t xml:space="preserve">Страхові випадки, які зазначаються в страховій гарантії </w:t>
      </w:r>
      <w:r w:rsidR="002B011D" w:rsidRPr="00522B93">
        <w:rPr>
          <w:sz w:val="26"/>
          <w:szCs w:val="26"/>
        </w:rPr>
        <w:t xml:space="preserve">забезпечення </w:t>
      </w:r>
      <w:r w:rsidR="002B011D" w:rsidRPr="00522B93">
        <w:rPr>
          <w:rFonts w:eastAsiaTheme="minorHAnsi"/>
          <w:sz w:val="26"/>
          <w:szCs w:val="26"/>
          <w:lang w:eastAsia="en-US"/>
        </w:rPr>
        <w:t>повернення авансового платежу</w:t>
      </w:r>
      <w:r w:rsidR="00522B93">
        <w:rPr>
          <w:rFonts w:eastAsiaTheme="minorHAnsi"/>
          <w:sz w:val="26"/>
          <w:szCs w:val="26"/>
          <w:lang w:eastAsia="en-US"/>
        </w:rPr>
        <w:t>,</w:t>
      </w:r>
      <w:r w:rsidRPr="00522B93">
        <w:rPr>
          <w:rFonts w:eastAsiaTheme="minorHAnsi"/>
          <w:sz w:val="26"/>
          <w:szCs w:val="26"/>
          <w:lang w:eastAsia="en-US"/>
        </w:rPr>
        <w:t xml:space="preserve"> </w:t>
      </w:r>
      <w:r w:rsidRPr="00522B93">
        <w:rPr>
          <w:sz w:val="26"/>
          <w:szCs w:val="26"/>
        </w:rPr>
        <w:t>повинні відповідати економічним інтересам АТ</w:t>
      </w:r>
      <w:r w:rsidRPr="00522B93">
        <w:rPr>
          <w:sz w:val="26"/>
          <w:szCs w:val="26"/>
          <w:lang w:val="ru-RU"/>
        </w:rPr>
        <w:t> </w:t>
      </w:r>
      <w:r w:rsidRPr="00522B93">
        <w:rPr>
          <w:sz w:val="26"/>
          <w:szCs w:val="26"/>
        </w:rPr>
        <w:t>«НАЕК «Енергоатом».</w:t>
      </w:r>
    </w:p>
    <w:p w14:paraId="26596FF4" w14:textId="67C8A3F1" w:rsidR="00522B93" w:rsidRDefault="001A0839" w:rsidP="00522B93">
      <w:pPr>
        <w:pStyle w:val="a4"/>
        <w:numPr>
          <w:ilvl w:val="1"/>
          <w:numId w:val="13"/>
        </w:numPr>
        <w:spacing w:after="120"/>
        <w:jc w:val="both"/>
        <w:rPr>
          <w:sz w:val="26"/>
          <w:szCs w:val="26"/>
        </w:rPr>
      </w:pPr>
      <w:r w:rsidRPr="00522B93">
        <w:rPr>
          <w:sz w:val="26"/>
          <w:szCs w:val="26"/>
        </w:rPr>
        <w:t xml:space="preserve">Страхова гарантія забезпечення тендерної </w:t>
      </w:r>
      <w:r w:rsidR="00A0238B" w:rsidRPr="00522B93">
        <w:rPr>
          <w:sz w:val="26"/>
          <w:szCs w:val="26"/>
        </w:rPr>
        <w:t>пропозиції</w:t>
      </w:r>
      <w:r w:rsidRPr="00522B93">
        <w:rPr>
          <w:sz w:val="26"/>
          <w:szCs w:val="26"/>
        </w:rPr>
        <w:t xml:space="preserve"> учасника</w:t>
      </w:r>
      <w:r w:rsidR="00737006">
        <w:rPr>
          <w:sz w:val="26"/>
          <w:szCs w:val="26"/>
        </w:rPr>
        <w:t xml:space="preserve"> закупівель</w:t>
      </w:r>
      <w:r w:rsidRPr="00522B93">
        <w:rPr>
          <w:sz w:val="26"/>
          <w:szCs w:val="26"/>
        </w:rPr>
        <w:t xml:space="preserve"> надається з обов’язковим накладанням </w:t>
      </w:r>
      <w:r w:rsidR="009E480E" w:rsidRPr="00522B93">
        <w:rPr>
          <w:sz w:val="26"/>
          <w:szCs w:val="26"/>
        </w:rPr>
        <w:t>КЕП</w:t>
      </w:r>
      <w:r w:rsidRPr="00522B93">
        <w:rPr>
          <w:sz w:val="26"/>
          <w:szCs w:val="26"/>
        </w:rPr>
        <w:t xml:space="preserve"> та доказами її оплати (платіжне доручення або прибутковий касовий ордер, або чек)</w:t>
      </w:r>
      <w:r w:rsidR="00522B93">
        <w:rPr>
          <w:sz w:val="26"/>
          <w:szCs w:val="26"/>
        </w:rPr>
        <w:t>.</w:t>
      </w:r>
    </w:p>
    <w:p w14:paraId="120C53AC" w14:textId="6A190FE3" w:rsidR="00522B93" w:rsidRDefault="006765B5" w:rsidP="00522B93">
      <w:pPr>
        <w:pStyle w:val="a4"/>
        <w:numPr>
          <w:ilvl w:val="1"/>
          <w:numId w:val="13"/>
        </w:numPr>
        <w:spacing w:after="120"/>
        <w:jc w:val="both"/>
        <w:rPr>
          <w:sz w:val="26"/>
          <w:szCs w:val="26"/>
        </w:rPr>
      </w:pPr>
      <w:r w:rsidRPr="00522B93">
        <w:rPr>
          <w:sz w:val="26"/>
          <w:szCs w:val="26"/>
          <w:lang w:eastAsia="en-US"/>
        </w:rPr>
        <w:t xml:space="preserve">Страхові гарантії забезпечення виконання договору про закупівлю та  забезпечення повернення авансового платежу можуть бути надані як у паперовій формі за підписом уповноважених осіб та скріплені печаткою (за наявності), так і у </w:t>
      </w:r>
      <w:r w:rsidR="00522B93">
        <w:rPr>
          <w:sz w:val="26"/>
          <w:szCs w:val="26"/>
          <w:lang w:eastAsia="en-US"/>
        </w:rPr>
        <w:t>формі електронного документа</w:t>
      </w:r>
      <w:r w:rsidRPr="00522B93">
        <w:rPr>
          <w:sz w:val="26"/>
          <w:szCs w:val="26"/>
          <w:lang w:eastAsia="en-US"/>
        </w:rPr>
        <w:t xml:space="preserve"> із накладенням КЕП уповноважених осіб та печатками (за наявності) разом із завіреними копіями договорів страхування, на підставі яких було видано страхові гарантії, та доказами їх оплати.</w:t>
      </w:r>
    </w:p>
    <w:p w14:paraId="2B6FA3C2" w14:textId="274EB897" w:rsidR="0004265F" w:rsidRPr="00522B93" w:rsidRDefault="00045F7F" w:rsidP="00522B93">
      <w:pPr>
        <w:pStyle w:val="a4"/>
        <w:numPr>
          <w:ilvl w:val="1"/>
          <w:numId w:val="13"/>
        </w:numPr>
        <w:spacing w:after="120"/>
        <w:jc w:val="both"/>
        <w:rPr>
          <w:sz w:val="26"/>
          <w:szCs w:val="26"/>
        </w:rPr>
      </w:pPr>
      <w:r w:rsidRPr="00522B93">
        <w:rPr>
          <w:sz w:val="26"/>
          <w:szCs w:val="26"/>
        </w:rPr>
        <w:t>Договір страхування має містити умову про те, що</w:t>
      </w:r>
      <w:r w:rsidR="00E80CAC" w:rsidRPr="00522B93">
        <w:rPr>
          <w:sz w:val="26"/>
          <w:szCs w:val="26"/>
        </w:rPr>
        <w:t xml:space="preserve"> вимога про сплату страхової виплати</w:t>
      </w:r>
      <w:r w:rsidR="00B460B0" w:rsidRPr="00522B93">
        <w:rPr>
          <w:sz w:val="26"/>
          <w:szCs w:val="26"/>
        </w:rPr>
        <w:t xml:space="preserve"> (страхового відшкодування</w:t>
      </w:r>
      <w:r w:rsidR="00E80CAC" w:rsidRPr="00522B93">
        <w:rPr>
          <w:sz w:val="26"/>
          <w:szCs w:val="26"/>
        </w:rPr>
        <w:t>)</w:t>
      </w:r>
      <w:r w:rsidR="0004265F" w:rsidRPr="00522B93">
        <w:rPr>
          <w:sz w:val="26"/>
          <w:szCs w:val="26"/>
        </w:rPr>
        <w:t xml:space="preserve"> пред’являється </w:t>
      </w:r>
      <w:r w:rsidR="0038093A" w:rsidRPr="00522B93">
        <w:rPr>
          <w:sz w:val="26"/>
          <w:szCs w:val="26"/>
        </w:rPr>
        <w:t xml:space="preserve">не пізніше кінцевої дати строку дії </w:t>
      </w:r>
      <w:r w:rsidR="006848BB" w:rsidRPr="00522B93">
        <w:rPr>
          <w:sz w:val="26"/>
          <w:szCs w:val="26"/>
        </w:rPr>
        <w:t>с</w:t>
      </w:r>
      <w:r w:rsidR="0038093A" w:rsidRPr="00522B93">
        <w:rPr>
          <w:sz w:val="26"/>
          <w:szCs w:val="26"/>
        </w:rPr>
        <w:t>трахової гарантії</w:t>
      </w:r>
      <w:r w:rsidR="0004265F" w:rsidRPr="00522B93">
        <w:rPr>
          <w:sz w:val="26"/>
          <w:szCs w:val="26"/>
        </w:rPr>
        <w:t xml:space="preserve">.  </w:t>
      </w:r>
    </w:p>
    <w:p w14:paraId="74EA1EBE" w14:textId="77777777" w:rsidR="0063750E" w:rsidRPr="00FF6350" w:rsidRDefault="0063750E" w:rsidP="000504EB">
      <w:pPr>
        <w:pStyle w:val="a4"/>
        <w:spacing w:after="120"/>
        <w:ind w:left="567" w:hanging="567"/>
        <w:jc w:val="both"/>
        <w:rPr>
          <w:sz w:val="26"/>
          <w:szCs w:val="26"/>
        </w:rPr>
      </w:pPr>
    </w:p>
    <w:p w14:paraId="54AA53FC" w14:textId="77777777" w:rsidR="0063750E" w:rsidRPr="00FF6350" w:rsidRDefault="0063750E">
      <w:pPr>
        <w:pStyle w:val="a4"/>
        <w:numPr>
          <w:ilvl w:val="0"/>
          <w:numId w:val="6"/>
        </w:numPr>
        <w:spacing w:after="120"/>
        <w:ind w:left="567" w:hanging="567"/>
        <w:jc w:val="both"/>
        <w:rPr>
          <w:b/>
          <w:i/>
          <w:sz w:val="26"/>
          <w:szCs w:val="26"/>
        </w:rPr>
      </w:pPr>
      <w:r w:rsidRPr="00FF6350">
        <w:rPr>
          <w:b/>
          <w:i/>
          <w:sz w:val="26"/>
          <w:szCs w:val="26"/>
        </w:rPr>
        <w:t xml:space="preserve">Підставою для виключення страхової компанії з </w:t>
      </w:r>
      <w:r w:rsidR="00045F7F" w:rsidRPr="00FF6350">
        <w:rPr>
          <w:b/>
          <w:i/>
          <w:sz w:val="26"/>
          <w:szCs w:val="26"/>
        </w:rPr>
        <w:t xml:space="preserve">Переліку </w:t>
      </w:r>
      <w:r w:rsidRPr="00FF6350">
        <w:rPr>
          <w:b/>
          <w:i/>
          <w:sz w:val="26"/>
          <w:szCs w:val="26"/>
        </w:rPr>
        <w:t>є:</w:t>
      </w:r>
    </w:p>
    <w:p w14:paraId="2564D938" w14:textId="77777777" w:rsidR="0030105F" w:rsidRPr="00FF6350" w:rsidRDefault="0030105F">
      <w:pPr>
        <w:pStyle w:val="a4"/>
        <w:numPr>
          <w:ilvl w:val="1"/>
          <w:numId w:val="6"/>
        </w:numPr>
        <w:spacing w:after="120"/>
        <w:ind w:left="567" w:hanging="567"/>
        <w:jc w:val="both"/>
        <w:rPr>
          <w:sz w:val="26"/>
          <w:szCs w:val="26"/>
        </w:rPr>
      </w:pPr>
      <w:proofErr w:type="spellStart"/>
      <w:r w:rsidRPr="00FF6350">
        <w:rPr>
          <w:sz w:val="26"/>
          <w:szCs w:val="26"/>
        </w:rPr>
        <w:t>Непоновлення</w:t>
      </w:r>
      <w:proofErr w:type="spellEnd"/>
      <w:r w:rsidRPr="00FF6350">
        <w:rPr>
          <w:sz w:val="26"/>
          <w:szCs w:val="26"/>
        </w:rPr>
        <w:t xml:space="preserve"> документів</w:t>
      </w:r>
      <w:r w:rsidR="007A7206" w:rsidRPr="00FF6350">
        <w:rPr>
          <w:sz w:val="26"/>
          <w:szCs w:val="26"/>
        </w:rPr>
        <w:t xml:space="preserve"> згідно </w:t>
      </w:r>
      <w:r w:rsidR="00B8473B" w:rsidRPr="00FF6350">
        <w:rPr>
          <w:sz w:val="26"/>
          <w:szCs w:val="26"/>
        </w:rPr>
        <w:t xml:space="preserve">з </w:t>
      </w:r>
      <w:r w:rsidR="007A7206" w:rsidRPr="00FF6350">
        <w:rPr>
          <w:sz w:val="26"/>
          <w:szCs w:val="26"/>
        </w:rPr>
        <w:t>п. 2.</w:t>
      </w:r>
      <w:r w:rsidR="00D35AEB" w:rsidRPr="00FF6350">
        <w:rPr>
          <w:sz w:val="26"/>
          <w:szCs w:val="26"/>
        </w:rPr>
        <w:t>7</w:t>
      </w:r>
      <w:r w:rsidR="007A7206" w:rsidRPr="00FF6350">
        <w:rPr>
          <w:sz w:val="26"/>
          <w:szCs w:val="26"/>
        </w:rPr>
        <w:t xml:space="preserve"> </w:t>
      </w:r>
      <w:r w:rsidRPr="00FF6350">
        <w:rPr>
          <w:sz w:val="26"/>
          <w:szCs w:val="26"/>
        </w:rPr>
        <w:t>Порядку.</w:t>
      </w:r>
    </w:p>
    <w:p w14:paraId="28EDF7B0" w14:textId="77408825" w:rsidR="0030105F" w:rsidRPr="00FF6350" w:rsidRDefault="00AF43E6">
      <w:pPr>
        <w:pStyle w:val="a4"/>
        <w:numPr>
          <w:ilvl w:val="1"/>
          <w:numId w:val="6"/>
        </w:numPr>
        <w:spacing w:after="120"/>
        <w:ind w:left="567" w:hanging="567"/>
        <w:jc w:val="both"/>
        <w:rPr>
          <w:sz w:val="26"/>
          <w:szCs w:val="26"/>
        </w:rPr>
      </w:pPr>
      <w:r w:rsidRPr="00FF6350">
        <w:rPr>
          <w:sz w:val="26"/>
          <w:szCs w:val="26"/>
        </w:rPr>
        <w:t xml:space="preserve">Порушення строків </w:t>
      </w:r>
      <w:r w:rsidR="00B460B0" w:rsidRPr="00FF6350">
        <w:rPr>
          <w:sz w:val="26"/>
          <w:szCs w:val="26"/>
        </w:rPr>
        <w:t xml:space="preserve">страхової </w:t>
      </w:r>
      <w:r w:rsidRPr="00FF6350">
        <w:rPr>
          <w:sz w:val="26"/>
          <w:szCs w:val="26"/>
        </w:rPr>
        <w:t xml:space="preserve">виплати </w:t>
      </w:r>
      <w:r w:rsidR="00B460B0" w:rsidRPr="00FF6350">
        <w:rPr>
          <w:sz w:val="26"/>
          <w:szCs w:val="26"/>
        </w:rPr>
        <w:t>(</w:t>
      </w:r>
      <w:r w:rsidR="00857B19" w:rsidRPr="00FF6350">
        <w:rPr>
          <w:sz w:val="26"/>
          <w:szCs w:val="26"/>
        </w:rPr>
        <w:t>страхового відшкодування</w:t>
      </w:r>
      <w:r w:rsidR="00B460B0" w:rsidRPr="00FF6350">
        <w:rPr>
          <w:sz w:val="26"/>
          <w:szCs w:val="26"/>
        </w:rPr>
        <w:t>)</w:t>
      </w:r>
      <w:r w:rsidR="00857B19" w:rsidRPr="00FF6350">
        <w:rPr>
          <w:sz w:val="26"/>
          <w:szCs w:val="26"/>
        </w:rPr>
        <w:t xml:space="preserve"> </w:t>
      </w:r>
      <w:r w:rsidRPr="00FF6350">
        <w:rPr>
          <w:sz w:val="26"/>
          <w:szCs w:val="26"/>
        </w:rPr>
        <w:t>та/або н</w:t>
      </w:r>
      <w:r w:rsidR="0063750E" w:rsidRPr="00FF6350">
        <w:rPr>
          <w:sz w:val="26"/>
          <w:szCs w:val="26"/>
        </w:rPr>
        <w:t>езаконна відмов</w:t>
      </w:r>
      <w:r w:rsidR="00C651A2" w:rsidRPr="00FF6350">
        <w:rPr>
          <w:sz w:val="26"/>
          <w:szCs w:val="26"/>
        </w:rPr>
        <w:t>а</w:t>
      </w:r>
      <w:r w:rsidR="0063750E" w:rsidRPr="00FF6350">
        <w:rPr>
          <w:sz w:val="26"/>
          <w:szCs w:val="26"/>
        </w:rPr>
        <w:t xml:space="preserve"> у </w:t>
      </w:r>
      <w:r w:rsidR="00522B93">
        <w:rPr>
          <w:sz w:val="26"/>
          <w:szCs w:val="26"/>
        </w:rPr>
        <w:t>страховій виплаті</w:t>
      </w:r>
      <w:r w:rsidR="00B460B0" w:rsidRPr="00FF6350">
        <w:rPr>
          <w:sz w:val="26"/>
          <w:szCs w:val="26"/>
        </w:rPr>
        <w:t xml:space="preserve"> (</w:t>
      </w:r>
      <w:r w:rsidR="00F01A38" w:rsidRPr="00FF6350">
        <w:rPr>
          <w:sz w:val="26"/>
          <w:szCs w:val="26"/>
        </w:rPr>
        <w:t>страховому</w:t>
      </w:r>
      <w:r w:rsidR="00B460B0" w:rsidRPr="00FF6350">
        <w:rPr>
          <w:sz w:val="26"/>
          <w:szCs w:val="26"/>
        </w:rPr>
        <w:t xml:space="preserve"> відшкодуванн</w:t>
      </w:r>
      <w:r w:rsidR="00F01A38" w:rsidRPr="00FF6350">
        <w:rPr>
          <w:sz w:val="26"/>
          <w:szCs w:val="26"/>
        </w:rPr>
        <w:t>і</w:t>
      </w:r>
      <w:r w:rsidR="00B460B0" w:rsidRPr="00FF6350">
        <w:rPr>
          <w:sz w:val="26"/>
          <w:szCs w:val="26"/>
        </w:rPr>
        <w:t>)</w:t>
      </w:r>
      <w:r w:rsidR="0063750E" w:rsidRPr="00FF6350">
        <w:rPr>
          <w:sz w:val="26"/>
          <w:szCs w:val="26"/>
        </w:rPr>
        <w:t>, що підтверджується рішенням суду, яке набрало законної сили.</w:t>
      </w:r>
    </w:p>
    <w:p w14:paraId="4C43D335" w14:textId="77777777" w:rsidR="0030105F" w:rsidRPr="00FF6350" w:rsidRDefault="00AF43E6">
      <w:pPr>
        <w:pStyle w:val="a4"/>
        <w:numPr>
          <w:ilvl w:val="1"/>
          <w:numId w:val="6"/>
        </w:numPr>
        <w:spacing w:after="120"/>
        <w:ind w:left="567" w:hanging="567"/>
        <w:jc w:val="both"/>
        <w:rPr>
          <w:sz w:val="26"/>
          <w:szCs w:val="26"/>
        </w:rPr>
      </w:pPr>
      <w:r w:rsidRPr="00FF6350">
        <w:rPr>
          <w:sz w:val="26"/>
          <w:szCs w:val="26"/>
        </w:rPr>
        <w:t>Неодноразове звернення (два і більше</w:t>
      </w:r>
      <w:r w:rsidR="0030105F" w:rsidRPr="00FF6350">
        <w:rPr>
          <w:sz w:val="26"/>
          <w:szCs w:val="26"/>
        </w:rPr>
        <w:t xml:space="preserve"> разів</w:t>
      </w:r>
      <w:r w:rsidRPr="00FF6350">
        <w:rPr>
          <w:sz w:val="26"/>
          <w:szCs w:val="26"/>
        </w:rPr>
        <w:t>) учасника торгів щодо відхилення його тендерної пропозиції у зв’язку із невідповідністю</w:t>
      </w:r>
      <w:r w:rsidR="0030105F" w:rsidRPr="00FF6350">
        <w:rPr>
          <w:sz w:val="26"/>
          <w:szCs w:val="26"/>
        </w:rPr>
        <w:t xml:space="preserve"> </w:t>
      </w:r>
      <w:r w:rsidRPr="00FF6350">
        <w:rPr>
          <w:sz w:val="26"/>
          <w:szCs w:val="26"/>
        </w:rPr>
        <w:t>страхової гарантії</w:t>
      </w:r>
      <w:r w:rsidR="00205856" w:rsidRPr="00FF6350">
        <w:rPr>
          <w:sz w:val="26"/>
          <w:szCs w:val="26"/>
        </w:rPr>
        <w:t xml:space="preserve"> (зокрема форми, умов)</w:t>
      </w:r>
      <w:r w:rsidRPr="00FF6350">
        <w:rPr>
          <w:sz w:val="26"/>
          <w:szCs w:val="26"/>
        </w:rPr>
        <w:t xml:space="preserve"> вимогам тендерної документації</w:t>
      </w:r>
      <w:r w:rsidR="0030105F" w:rsidRPr="00FF6350">
        <w:rPr>
          <w:sz w:val="26"/>
          <w:szCs w:val="26"/>
        </w:rPr>
        <w:t xml:space="preserve"> </w:t>
      </w:r>
      <w:r w:rsidR="00205856" w:rsidRPr="00FF6350">
        <w:rPr>
          <w:sz w:val="26"/>
          <w:szCs w:val="26"/>
        </w:rPr>
        <w:t xml:space="preserve">чи положенням Закону України «Про публічні закупівлі» </w:t>
      </w:r>
      <w:r w:rsidR="005B3EBC">
        <w:rPr>
          <w:sz w:val="26"/>
          <w:szCs w:val="26"/>
        </w:rPr>
        <w:t xml:space="preserve">з урахуванням Особливостей </w:t>
      </w:r>
      <w:r w:rsidR="0030105F" w:rsidRPr="00FF6350">
        <w:rPr>
          <w:sz w:val="26"/>
          <w:szCs w:val="26"/>
        </w:rPr>
        <w:t>з вини страхової компанії</w:t>
      </w:r>
      <w:r w:rsidR="00C651A2" w:rsidRPr="00FF6350">
        <w:rPr>
          <w:sz w:val="26"/>
          <w:szCs w:val="26"/>
        </w:rPr>
        <w:t>.</w:t>
      </w:r>
    </w:p>
    <w:p w14:paraId="610A81E7" w14:textId="204094AA" w:rsidR="00C651A2" w:rsidRDefault="001C79FC">
      <w:pPr>
        <w:pStyle w:val="a4"/>
        <w:numPr>
          <w:ilvl w:val="1"/>
          <w:numId w:val="6"/>
        </w:numPr>
        <w:spacing w:after="120"/>
        <w:ind w:left="567" w:hanging="567"/>
        <w:jc w:val="both"/>
        <w:rPr>
          <w:sz w:val="26"/>
          <w:szCs w:val="26"/>
        </w:rPr>
      </w:pPr>
      <w:r w:rsidRPr="00FF6350">
        <w:rPr>
          <w:sz w:val="26"/>
          <w:szCs w:val="26"/>
        </w:rPr>
        <w:t xml:space="preserve">Отримання відомостей </w:t>
      </w:r>
      <w:r w:rsidR="00737006">
        <w:rPr>
          <w:sz w:val="26"/>
          <w:szCs w:val="26"/>
        </w:rPr>
        <w:t>про</w:t>
      </w:r>
      <w:r w:rsidRPr="00FF6350">
        <w:rPr>
          <w:sz w:val="26"/>
          <w:szCs w:val="26"/>
        </w:rPr>
        <w:t xml:space="preserve"> порушення провадження у справі про банкрутство страхової компанії. </w:t>
      </w:r>
    </w:p>
    <w:p w14:paraId="6B26591A" w14:textId="36770167" w:rsidR="005B3EBC" w:rsidRPr="00FF6350" w:rsidRDefault="00137314">
      <w:pPr>
        <w:pStyle w:val="a4"/>
        <w:numPr>
          <w:ilvl w:val="1"/>
          <w:numId w:val="6"/>
        </w:numPr>
        <w:spacing w:after="12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F06625">
        <w:rPr>
          <w:sz w:val="26"/>
          <w:szCs w:val="26"/>
        </w:rPr>
        <w:t>ідкликання</w:t>
      </w:r>
      <w:r w:rsidRPr="00137314">
        <w:rPr>
          <w:sz w:val="26"/>
          <w:szCs w:val="26"/>
        </w:rPr>
        <w:t xml:space="preserve"> </w:t>
      </w:r>
      <w:r>
        <w:rPr>
          <w:sz w:val="26"/>
          <w:szCs w:val="26"/>
        </w:rPr>
        <w:t>(анулювання</w:t>
      </w:r>
      <w:r w:rsidR="00B11D6C">
        <w:rPr>
          <w:sz w:val="26"/>
          <w:szCs w:val="26"/>
        </w:rPr>
        <w:t xml:space="preserve">) ліцензій на </w:t>
      </w:r>
      <w:r>
        <w:rPr>
          <w:sz w:val="26"/>
          <w:szCs w:val="26"/>
        </w:rPr>
        <w:t>здійснен</w:t>
      </w:r>
      <w:r w:rsidR="00B11D6C">
        <w:rPr>
          <w:sz w:val="26"/>
          <w:szCs w:val="26"/>
        </w:rPr>
        <w:t>ня</w:t>
      </w:r>
      <w:r>
        <w:rPr>
          <w:sz w:val="26"/>
          <w:szCs w:val="26"/>
        </w:rPr>
        <w:t xml:space="preserve"> страхової</w:t>
      </w:r>
      <w:r w:rsidR="00B11D6C">
        <w:rPr>
          <w:sz w:val="26"/>
          <w:szCs w:val="26"/>
        </w:rPr>
        <w:t xml:space="preserve"> </w:t>
      </w:r>
      <w:r w:rsidR="00F06625">
        <w:rPr>
          <w:sz w:val="26"/>
          <w:szCs w:val="26"/>
        </w:rPr>
        <w:t>діяльності та виключення страхов</w:t>
      </w:r>
      <w:r w:rsidR="00737006">
        <w:rPr>
          <w:sz w:val="26"/>
          <w:szCs w:val="26"/>
        </w:rPr>
        <w:t xml:space="preserve">ої </w:t>
      </w:r>
      <w:proofErr w:type="spellStart"/>
      <w:r w:rsidR="00737006">
        <w:rPr>
          <w:sz w:val="26"/>
          <w:szCs w:val="26"/>
        </w:rPr>
        <w:t>компнанії</w:t>
      </w:r>
      <w:proofErr w:type="spellEnd"/>
      <w:r w:rsidR="00F06625">
        <w:rPr>
          <w:sz w:val="26"/>
          <w:szCs w:val="26"/>
        </w:rPr>
        <w:t xml:space="preserve"> з Державного реєстру фінансових установ.</w:t>
      </w:r>
    </w:p>
    <w:p w14:paraId="393520A6" w14:textId="77777777" w:rsidR="0063750E" w:rsidRPr="00FF6350" w:rsidRDefault="0063750E" w:rsidP="0063750E">
      <w:pPr>
        <w:pStyle w:val="a4"/>
        <w:spacing w:after="120"/>
        <w:ind w:left="567"/>
        <w:jc w:val="both"/>
        <w:rPr>
          <w:sz w:val="26"/>
          <w:szCs w:val="26"/>
        </w:rPr>
      </w:pPr>
    </w:p>
    <w:p w14:paraId="463250DA" w14:textId="77777777" w:rsidR="000F3210" w:rsidRPr="00FF6350" w:rsidRDefault="000F3210" w:rsidP="000F3210">
      <w:pPr>
        <w:pStyle w:val="a4"/>
        <w:spacing w:after="120"/>
        <w:ind w:left="567"/>
        <w:jc w:val="both"/>
        <w:rPr>
          <w:sz w:val="26"/>
          <w:szCs w:val="26"/>
        </w:rPr>
      </w:pPr>
    </w:p>
    <w:sectPr w:rsidR="000F3210" w:rsidRPr="00FF6350" w:rsidSect="00794B8F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BF327CAC"/>
    <w:lvl w:ilvl="0">
      <w:start w:val="1"/>
      <w:numFmt w:val="decimal"/>
      <w:pStyle w:val="1"/>
      <w:lvlText w:val="%1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pStyle w:val="2"/>
      <w:lvlText w:val="%1.%2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3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DB589B"/>
    <w:multiLevelType w:val="multilevel"/>
    <w:tmpl w:val="0D5A83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10517B"/>
    <w:multiLevelType w:val="multilevel"/>
    <w:tmpl w:val="D76E37D4"/>
    <w:lvl w:ilvl="0">
      <w:start w:val="4"/>
      <w:numFmt w:val="decimal"/>
      <w:lvlText w:val="%1."/>
      <w:lvlJc w:val="left"/>
      <w:pPr>
        <w:tabs>
          <w:tab w:val="num" w:pos="0"/>
        </w:tabs>
        <w:ind w:left="1347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7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77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3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37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97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97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57" w:hanging="1800"/>
      </w:pPr>
      <w:rPr>
        <w:rFonts w:hint="default"/>
        <w:color w:val="000000"/>
      </w:rPr>
    </w:lvl>
  </w:abstractNum>
  <w:abstractNum w:abstractNumId="3" w15:restartNumberingAfterBreak="0">
    <w:nsid w:val="35357740"/>
    <w:multiLevelType w:val="multilevel"/>
    <w:tmpl w:val="A6861484"/>
    <w:lvl w:ilvl="0">
      <w:start w:val="2"/>
      <w:numFmt w:val="decimal"/>
      <w:lvlText w:val="%1."/>
      <w:lvlJc w:val="left"/>
      <w:pPr>
        <w:ind w:left="1347" w:hanging="390"/>
      </w:pPr>
      <w:rPr>
        <w:rFonts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167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77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037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397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397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757" w:hanging="1800"/>
      </w:pPr>
      <w:rPr>
        <w:rFonts w:hint="default"/>
        <w:color w:val="000000"/>
      </w:rPr>
    </w:lvl>
  </w:abstractNum>
  <w:abstractNum w:abstractNumId="4" w15:restartNumberingAfterBreak="0">
    <w:nsid w:val="355253BB"/>
    <w:multiLevelType w:val="multilevel"/>
    <w:tmpl w:val="FC5609C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715325"/>
    <w:multiLevelType w:val="multilevel"/>
    <w:tmpl w:val="0D5CCEC2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6" w15:restartNumberingAfterBreak="0">
    <w:nsid w:val="3CC46406"/>
    <w:multiLevelType w:val="multilevel"/>
    <w:tmpl w:val="3444846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7" w15:restartNumberingAfterBreak="0">
    <w:nsid w:val="5C864389"/>
    <w:multiLevelType w:val="multilevel"/>
    <w:tmpl w:val="F99A1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19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40677A9"/>
    <w:multiLevelType w:val="multilevel"/>
    <w:tmpl w:val="2DBA7DCE"/>
    <w:lvl w:ilvl="0">
      <w:start w:val="3"/>
      <w:numFmt w:val="decimal"/>
      <w:lvlText w:val="%1."/>
      <w:lvlJc w:val="left"/>
      <w:pPr>
        <w:tabs>
          <w:tab w:val="num" w:pos="0"/>
        </w:tabs>
        <w:ind w:left="1347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77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77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3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37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97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97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57" w:hanging="1800"/>
      </w:pPr>
      <w:rPr>
        <w:rFonts w:hint="default"/>
        <w:color w:val="000000"/>
      </w:rPr>
    </w:lvl>
  </w:abstractNum>
  <w:abstractNum w:abstractNumId="9" w15:restartNumberingAfterBreak="0">
    <w:nsid w:val="66FA475D"/>
    <w:multiLevelType w:val="multilevel"/>
    <w:tmpl w:val="FC5609C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7EF075B"/>
    <w:multiLevelType w:val="multilevel"/>
    <w:tmpl w:val="FC5609C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2AE57BD"/>
    <w:multiLevelType w:val="multilevel"/>
    <w:tmpl w:val="16D68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E5C5EAB"/>
    <w:multiLevelType w:val="multilevel"/>
    <w:tmpl w:val="D7DCB6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11"/>
  </w:num>
  <w:num w:numId="8">
    <w:abstractNumId w:val="1"/>
  </w:num>
  <w:num w:numId="9">
    <w:abstractNumId w:val="5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EE"/>
    <w:rsid w:val="00014DB2"/>
    <w:rsid w:val="000223D2"/>
    <w:rsid w:val="0004265F"/>
    <w:rsid w:val="00045F7F"/>
    <w:rsid w:val="000504EB"/>
    <w:rsid w:val="000542D0"/>
    <w:rsid w:val="0007578E"/>
    <w:rsid w:val="00080ED5"/>
    <w:rsid w:val="0008440B"/>
    <w:rsid w:val="00095DB9"/>
    <w:rsid w:val="000A2AEB"/>
    <w:rsid w:val="000A68C6"/>
    <w:rsid w:val="000B6232"/>
    <w:rsid w:val="000C2401"/>
    <w:rsid w:val="000D6D63"/>
    <w:rsid w:val="000D7A1A"/>
    <w:rsid w:val="000F3210"/>
    <w:rsid w:val="00106434"/>
    <w:rsid w:val="00106F18"/>
    <w:rsid w:val="00125FD9"/>
    <w:rsid w:val="00131987"/>
    <w:rsid w:val="001341FB"/>
    <w:rsid w:val="00137314"/>
    <w:rsid w:val="00145286"/>
    <w:rsid w:val="0016159A"/>
    <w:rsid w:val="00166F22"/>
    <w:rsid w:val="001738D3"/>
    <w:rsid w:val="001819E7"/>
    <w:rsid w:val="0018556B"/>
    <w:rsid w:val="001A0839"/>
    <w:rsid w:val="001A2DBF"/>
    <w:rsid w:val="001C074C"/>
    <w:rsid w:val="001C7359"/>
    <w:rsid w:val="001C79FC"/>
    <w:rsid w:val="001D039B"/>
    <w:rsid w:val="001E0102"/>
    <w:rsid w:val="001E7A4A"/>
    <w:rsid w:val="001F1300"/>
    <w:rsid w:val="001F20B2"/>
    <w:rsid w:val="001F6734"/>
    <w:rsid w:val="0020387D"/>
    <w:rsid w:val="00205856"/>
    <w:rsid w:val="002066D2"/>
    <w:rsid w:val="00217642"/>
    <w:rsid w:val="00221DAF"/>
    <w:rsid w:val="002257D6"/>
    <w:rsid w:val="00227962"/>
    <w:rsid w:val="0023550A"/>
    <w:rsid w:val="00256740"/>
    <w:rsid w:val="00260EE9"/>
    <w:rsid w:val="00296CF4"/>
    <w:rsid w:val="002B011D"/>
    <w:rsid w:val="002C0E29"/>
    <w:rsid w:val="002C1753"/>
    <w:rsid w:val="002D73A6"/>
    <w:rsid w:val="002F0197"/>
    <w:rsid w:val="002F51F1"/>
    <w:rsid w:val="0030105F"/>
    <w:rsid w:val="00303433"/>
    <w:rsid w:val="00303D14"/>
    <w:rsid w:val="00306FB6"/>
    <w:rsid w:val="00312EC9"/>
    <w:rsid w:val="0031479D"/>
    <w:rsid w:val="00322282"/>
    <w:rsid w:val="003222D4"/>
    <w:rsid w:val="00322A84"/>
    <w:rsid w:val="003420A5"/>
    <w:rsid w:val="0034444B"/>
    <w:rsid w:val="00344BFF"/>
    <w:rsid w:val="00350C6C"/>
    <w:rsid w:val="003601B6"/>
    <w:rsid w:val="0038093A"/>
    <w:rsid w:val="00391880"/>
    <w:rsid w:val="003A03AB"/>
    <w:rsid w:val="003A2826"/>
    <w:rsid w:val="003B0158"/>
    <w:rsid w:val="003C0804"/>
    <w:rsid w:val="003D0113"/>
    <w:rsid w:val="003D73B8"/>
    <w:rsid w:val="003E7F39"/>
    <w:rsid w:val="0041142C"/>
    <w:rsid w:val="00437698"/>
    <w:rsid w:val="00473DF2"/>
    <w:rsid w:val="0047677D"/>
    <w:rsid w:val="00494AE3"/>
    <w:rsid w:val="004A2C06"/>
    <w:rsid w:val="004A326A"/>
    <w:rsid w:val="004B0A8B"/>
    <w:rsid w:val="004C346C"/>
    <w:rsid w:val="004D58CC"/>
    <w:rsid w:val="004E2246"/>
    <w:rsid w:val="00500F17"/>
    <w:rsid w:val="0051236D"/>
    <w:rsid w:val="005159F4"/>
    <w:rsid w:val="00522B93"/>
    <w:rsid w:val="005427C2"/>
    <w:rsid w:val="00560A38"/>
    <w:rsid w:val="00560C12"/>
    <w:rsid w:val="005638F0"/>
    <w:rsid w:val="0056442E"/>
    <w:rsid w:val="00572D0D"/>
    <w:rsid w:val="00577775"/>
    <w:rsid w:val="005A6342"/>
    <w:rsid w:val="005B013E"/>
    <w:rsid w:val="005B3EBC"/>
    <w:rsid w:val="005F4A30"/>
    <w:rsid w:val="005F76A7"/>
    <w:rsid w:val="0060332A"/>
    <w:rsid w:val="0061484E"/>
    <w:rsid w:val="00616ED0"/>
    <w:rsid w:val="0062074A"/>
    <w:rsid w:val="00623C6B"/>
    <w:rsid w:val="006319C4"/>
    <w:rsid w:val="0063750E"/>
    <w:rsid w:val="00637977"/>
    <w:rsid w:val="00641ACD"/>
    <w:rsid w:val="00650E6C"/>
    <w:rsid w:val="00655729"/>
    <w:rsid w:val="006560A7"/>
    <w:rsid w:val="00657695"/>
    <w:rsid w:val="00667A1D"/>
    <w:rsid w:val="006765B5"/>
    <w:rsid w:val="006848BB"/>
    <w:rsid w:val="0069117A"/>
    <w:rsid w:val="006952A5"/>
    <w:rsid w:val="006964D0"/>
    <w:rsid w:val="0069653B"/>
    <w:rsid w:val="006B2AC4"/>
    <w:rsid w:val="006C0B34"/>
    <w:rsid w:val="006C29F9"/>
    <w:rsid w:val="006C6F2E"/>
    <w:rsid w:val="006D5D8C"/>
    <w:rsid w:val="006D6378"/>
    <w:rsid w:val="006E29C9"/>
    <w:rsid w:val="006F536B"/>
    <w:rsid w:val="0072087D"/>
    <w:rsid w:val="007350D6"/>
    <w:rsid w:val="00737006"/>
    <w:rsid w:val="00741B24"/>
    <w:rsid w:val="007574B3"/>
    <w:rsid w:val="00763CBE"/>
    <w:rsid w:val="00766B62"/>
    <w:rsid w:val="007921FE"/>
    <w:rsid w:val="00794B8F"/>
    <w:rsid w:val="00795FD8"/>
    <w:rsid w:val="007A7206"/>
    <w:rsid w:val="007C2B7D"/>
    <w:rsid w:val="007E33E4"/>
    <w:rsid w:val="007E354E"/>
    <w:rsid w:val="007F6819"/>
    <w:rsid w:val="00826617"/>
    <w:rsid w:val="008301AC"/>
    <w:rsid w:val="00845062"/>
    <w:rsid w:val="00852B63"/>
    <w:rsid w:val="00857B19"/>
    <w:rsid w:val="00893A3F"/>
    <w:rsid w:val="008F4876"/>
    <w:rsid w:val="00915858"/>
    <w:rsid w:val="00931EAB"/>
    <w:rsid w:val="0094059A"/>
    <w:rsid w:val="009862DE"/>
    <w:rsid w:val="009863A0"/>
    <w:rsid w:val="009917F1"/>
    <w:rsid w:val="009979BA"/>
    <w:rsid w:val="009B0594"/>
    <w:rsid w:val="009B7BAC"/>
    <w:rsid w:val="009C69AD"/>
    <w:rsid w:val="009C7FE4"/>
    <w:rsid w:val="009D075D"/>
    <w:rsid w:val="009E1D8F"/>
    <w:rsid w:val="009E480E"/>
    <w:rsid w:val="009E733A"/>
    <w:rsid w:val="00A0238B"/>
    <w:rsid w:val="00A14FDB"/>
    <w:rsid w:val="00A1521D"/>
    <w:rsid w:val="00A34B14"/>
    <w:rsid w:val="00A4120E"/>
    <w:rsid w:val="00A41BA4"/>
    <w:rsid w:val="00A43263"/>
    <w:rsid w:val="00A464BF"/>
    <w:rsid w:val="00A9324D"/>
    <w:rsid w:val="00A94D97"/>
    <w:rsid w:val="00A97213"/>
    <w:rsid w:val="00AA120F"/>
    <w:rsid w:val="00AA557C"/>
    <w:rsid w:val="00AC0E28"/>
    <w:rsid w:val="00AC2B5B"/>
    <w:rsid w:val="00AD6CE6"/>
    <w:rsid w:val="00AE3741"/>
    <w:rsid w:val="00AE3823"/>
    <w:rsid w:val="00AF43E6"/>
    <w:rsid w:val="00AF4F72"/>
    <w:rsid w:val="00AF5F6F"/>
    <w:rsid w:val="00B11D6C"/>
    <w:rsid w:val="00B165CB"/>
    <w:rsid w:val="00B17286"/>
    <w:rsid w:val="00B30A48"/>
    <w:rsid w:val="00B363D6"/>
    <w:rsid w:val="00B460B0"/>
    <w:rsid w:val="00B5622A"/>
    <w:rsid w:val="00B61D83"/>
    <w:rsid w:val="00B734F0"/>
    <w:rsid w:val="00B74801"/>
    <w:rsid w:val="00B77C97"/>
    <w:rsid w:val="00B83DFC"/>
    <w:rsid w:val="00B8473B"/>
    <w:rsid w:val="00B924E0"/>
    <w:rsid w:val="00BB5242"/>
    <w:rsid w:val="00BC1D7A"/>
    <w:rsid w:val="00BC2BF7"/>
    <w:rsid w:val="00BD07CC"/>
    <w:rsid w:val="00BE0A49"/>
    <w:rsid w:val="00BE3E85"/>
    <w:rsid w:val="00BF3702"/>
    <w:rsid w:val="00C1145B"/>
    <w:rsid w:val="00C31499"/>
    <w:rsid w:val="00C33B8E"/>
    <w:rsid w:val="00C40B4E"/>
    <w:rsid w:val="00C44D46"/>
    <w:rsid w:val="00C4542C"/>
    <w:rsid w:val="00C5337B"/>
    <w:rsid w:val="00C60120"/>
    <w:rsid w:val="00C6357D"/>
    <w:rsid w:val="00C651A2"/>
    <w:rsid w:val="00C67D8A"/>
    <w:rsid w:val="00C72CEF"/>
    <w:rsid w:val="00C73AFE"/>
    <w:rsid w:val="00C760BD"/>
    <w:rsid w:val="00C80EDD"/>
    <w:rsid w:val="00C839B7"/>
    <w:rsid w:val="00C9315F"/>
    <w:rsid w:val="00C9397D"/>
    <w:rsid w:val="00CA50A8"/>
    <w:rsid w:val="00CC458D"/>
    <w:rsid w:val="00CC7C2B"/>
    <w:rsid w:val="00CE3A42"/>
    <w:rsid w:val="00CE4E10"/>
    <w:rsid w:val="00D02B16"/>
    <w:rsid w:val="00D147AD"/>
    <w:rsid w:val="00D326EE"/>
    <w:rsid w:val="00D35AEB"/>
    <w:rsid w:val="00D369E8"/>
    <w:rsid w:val="00D74D3E"/>
    <w:rsid w:val="00D862EB"/>
    <w:rsid w:val="00D92A5C"/>
    <w:rsid w:val="00D97C4A"/>
    <w:rsid w:val="00DB4459"/>
    <w:rsid w:val="00DD6A98"/>
    <w:rsid w:val="00DE2B1E"/>
    <w:rsid w:val="00DE3C15"/>
    <w:rsid w:val="00DE63B4"/>
    <w:rsid w:val="00DF3772"/>
    <w:rsid w:val="00DF7FC3"/>
    <w:rsid w:val="00E0343D"/>
    <w:rsid w:val="00E074ED"/>
    <w:rsid w:val="00E13CB0"/>
    <w:rsid w:val="00E216D9"/>
    <w:rsid w:val="00E27A3B"/>
    <w:rsid w:val="00E309C1"/>
    <w:rsid w:val="00E369D0"/>
    <w:rsid w:val="00E57F47"/>
    <w:rsid w:val="00E60BAD"/>
    <w:rsid w:val="00E64153"/>
    <w:rsid w:val="00E65CE1"/>
    <w:rsid w:val="00E80CAC"/>
    <w:rsid w:val="00E824D1"/>
    <w:rsid w:val="00EB51EE"/>
    <w:rsid w:val="00EC4C33"/>
    <w:rsid w:val="00EF321A"/>
    <w:rsid w:val="00F01A38"/>
    <w:rsid w:val="00F06625"/>
    <w:rsid w:val="00F210A6"/>
    <w:rsid w:val="00F21F57"/>
    <w:rsid w:val="00F369A2"/>
    <w:rsid w:val="00F4491B"/>
    <w:rsid w:val="00F544ED"/>
    <w:rsid w:val="00F60081"/>
    <w:rsid w:val="00F61BA8"/>
    <w:rsid w:val="00F74094"/>
    <w:rsid w:val="00FA5C20"/>
    <w:rsid w:val="00FB5192"/>
    <w:rsid w:val="00FE0D6E"/>
    <w:rsid w:val="00FE2D3A"/>
    <w:rsid w:val="00FF6350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2CEF"/>
  <w15:docId w15:val="{228C2551-9102-400C-9979-E2FF7C27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qFormat/>
    <w:rsid w:val="00D326EE"/>
    <w:pPr>
      <w:pageBreakBefore/>
      <w:widowControl w:val="0"/>
      <w:numPr>
        <w:numId w:val="1"/>
      </w:numPr>
      <w:tabs>
        <w:tab w:val="left" w:leader="dot" w:pos="8505"/>
      </w:tabs>
      <w:spacing w:before="120" w:after="120"/>
      <w:jc w:val="both"/>
      <w:outlineLvl w:val="0"/>
    </w:pPr>
    <w:rPr>
      <w:b/>
      <w:caps/>
      <w:sz w:val="26"/>
      <w:szCs w:val="20"/>
      <w:lang w:eastAsia="uk-UA"/>
    </w:rPr>
  </w:style>
  <w:style w:type="paragraph" w:styleId="2">
    <w:name w:val="heading 2"/>
    <w:basedOn w:val="a"/>
    <w:link w:val="20"/>
    <w:qFormat/>
    <w:rsid w:val="00D326EE"/>
    <w:pPr>
      <w:widowControl w:val="0"/>
      <w:numPr>
        <w:ilvl w:val="1"/>
        <w:numId w:val="1"/>
      </w:numPr>
      <w:tabs>
        <w:tab w:val="left" w:leader="dot" w:pos="8505"/>
      </w:tabs>
      <w:spacing w:before="120"/>
      <w:jc w:val="both"/>
      <w:outlineLvl w:val="1"/>
    </w:pPr>
    <w:rPr>
      <w:sz w:val="26"/>
      <w:szCs w:val="20"/>
      <w:lang w:eastAsia="uk-UA"/>
    </w:rPr>
  </w:style>
  <w:style w:type="paragraph" w:styleId="3">
    <w:name w:val="heading 3"/>
    <w:basedOn w:val="a"/>
    <w:link w:val="30"/>
    <w:qFormat/>
    <w:rsid w:val="00D326EE"/>
    <w:pPr>
      <w:widowControl w:val="0"/>
      <w:numPr>
        <w:ilvl w:val="2"/>
        <w:numId w:val="1"/>
      </w:numPr>
      <w:tabs>
        <w:tab w:val="left" w:leader="dot" w:pos="8505"/>
      </w:tabs>
      <w:spacing w:before="120"/>
      <w:jc w:val="both"/>
      <w:outlineLvl w:val="2"/>
    </w:pPr>
    <w:rPr>
      <w:sz w:val="26"/>
      <w:szCs w:val="20"/>
      <w:lang w:eastAsia="uk-UA"/>
    </w:rPr>
  </w:style>
  <w:style w:type="paragraph" w:styleId="4">
    <w:name w:val="heading 4"/>
    <w:basedOn w:val="a"/>
    <w:link w:val="40"/>
    <w:qFormat/>
    <w:rsid w:val="00D326EE"/>
    <w:pPr>
      <w:widowControl w:val="0"/>
      <w:numPr>
        <w:ilvl w:val="3"/>
        <w:numId w:val="1"/>
      </w:numPr>
      <w:tabs>
        <w:tab w:val="left" w:leader="dot" w:pos="8505"/>
      </w:tabs>
      <w:spacing w:before="120"/>
      <w:jc w:val="both"/>
      <w:outlineLvl w:val="3"/>
    </w:pPr>
    <w:rPr>
      <w:sz w:val="26"/>
      <w:szCs w:val="20"/>
      <w:lang w:eastAsia="uk-UA"/>
    </w:rPr>
  </w:style>
  <w:style w:type="paragraph" w:styleId="5">
    <w:name w:val="heading 5"/>
    <w:basedOn w:val="a"/>
    <w:link w:val="50"/>
    <w:qFormat/>
    <w:rsid w:val="00D326EE"/>
    <w:pPr>
      <w:widowControl w:val="0"/>
      <w:numPr>
        <w:ilvl w:val="4"/>
        <w:numId w:val="1"/>
      </w:numPr>
      <w:spacing w:before="120" w:after="120"/>
      <w:jc w:val="both"/>
      <w:outlineLvl w:val="4"/>
    </w:pPr>
    <w:rPr>
      <w:sz w:val="26"/>
      <w:szCs w:val="20"/>
      <w:lang w:eastAsia="uk-UA"/>
    </w:rPr>
  </w:style>
  <w:style w:type="paragraph" w:styleId="6">
    <w:name w:val="heading 6"/>
    <w:basedOn w:val="a"/>
    <w:next w:val="a"/>
    <w:link w:val="60"/>
    <w:qFormat/>
    <w:rsid w:val="00D326EE"/>
    <w:pPr>
      <w:widowControl w:val="0"/>
      <w:numPr>
        <w:ilvl w:val="5"/>
        <w:numId w:val="1"/>
      </w:numPr>
      <w:tabs>
        <w:tab w:val="left" w:pos="709"/>
        <w:tab w:val="left" w:leader="dot" w:pos="8505"/>
      </w:tabs>
      <w:spacing w:before="240" w:after="60"/>
      <w:jc w:val="both"/>
      <w:outlineLvl w:val="5"/>
    </w:pPr>
    <w:rPr>
      <w:i/>
      <w:sz w:val="22"/>
      <w:szCs w:val="20"/>
      <w:lang w:eastAsia="uk-UA"/>
    </w:rPr>
  </w:style>
  <w:style w:type="paragraph" w:styleId="7">
    <w:name w:val="heading 7"/>
    <w:basedOn w:val="a"/>
    <w:next w:val="a"/>
    <w:link w:val="70"/>
    <w:qFormat/>
    <w:rsid w:val="00D326EE"/>
    <w:pPr>
      <w:widowControl w:val="0"/>
      <w:numPr>
        <w:ilvl w:val="6"/>
        <w:numId w:val="1"/>
      </w:numPr>
      <w:tabs>
        <w:tab w:val="left" w:pos="709"/>
        <w:tab w:val="left" w:leader="dot" w:pos="8505"/>
      </w:tabs>
      <w:spacing w:before="240" w:after="60"/>
      <w:jc w:val="both"/>
      <w:outlineLvl w:val="6"/>
    </w:pPr>
    <w:rPr>
      <w:rFonts w:ascii="Arial" w:hAnsi="Arial"/>
      <w:sz w:val="20"/>
      <w:szCs w:val="20"/>
      <w:lang w:eastAsia="uk-UA"/>
    </w:rPr>
  </w:style>
  <w:style w:type="paragraph" w:styleId="8">
    <w:name w:val="heading 8"/>
    <w:basedOn w:val="a"/>
    <w:next w:val="a"/>
    <w:link w:val="80"/>
    <w:qFormat/>
    <w:rsid w:val="00D326EE"/>
    <w:pPr>
      <w:widowControl w:val="0"/>
      <w:numPr>
        <w:ilvl w:val="7"/>
        <w:numId w:val="1"/>
      </w:numPr>
      <w:tabs>
        <w:tab w:val="left" w:pos="709"/>
        <w:tab w:val="left" w:leader="dot" w:pos="8505"/>
      </w:tabs>
      <w:spacing w:before="240" w:after="60"/>
      <w:jc w:val="both"/>
      <w:outlineLvl w:val="7"/>
    </w:pPr>
    <w:rPr>
      <w:rFonts w:ascii="Arial" w:hAnsi="Arial"/>
      <w:i/>
      <w:sz w:val="20"/>
      <w:szCs w:val="20"/>
      <w:lang w:eastAsia="uk-UA"/>
    </w:rPr>
  </w:style>
  <w:style w:type="paragraph" w:styleId="9">
    <w:name w:val="heading 9"/>
    <w:basedOn w:val="a"/>
    <w:next w:val="a"/>
    <w:link w:val="90"/>
    <w:qFormat/>
    <w:rsid w:val="00D326EE"/>
    <w:pPr>
      <w:widowControl w:val="0"/>
      <w:numPr>
        <w:ilvl w:val="8"/>
        <w:numId w:val="1"/>
      </w:numPr>
      <w:tabs>
        <w:tab w:val="left" w:pos="709"/>
        <w:tab w:val="left" w:leader="dot" w:pos="8505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26EE"/>
    <w:rPr>
      <w:rFonts w:ascii="Times New Roman" w:eastAsia="Times New Roman" w:hAnsi="Times New Roman" w:cs="Times New Roman"/>
      <w:b/>
      <w:caps/>
      <w:sz w:val="26"/>
      <w:szCs w:val="20"/>
      <w:lang w:eastAsia="uk-UA"/>
    </w:rPr>
  </w:style>
  <w:style w:type="character" w:customStyle="1" w:styleId="20">
    <w:name w:val="Заголовок 2 Знак"/>
    <w:basedOn w:val="a0"/>
    <w:link w:val="2"/>
    <w:rsid w:val="00D326EE"/>
    <w:rPr>
      <w:rFonts w:ascii="Times New Roman" w:eastAsia="Times New Roman" w:hAnsi="Times New Roman" w:cs="Times New Roman"/>
      <w:sz w:val="26"/>
      <w:szCs w:val="20"/>
      <w:lang w:eastAsia="uk-UA"/>
    </w:rPr>
  </w:style>
  <w:style w:type="character" w:customStyle="1" w:styleId="30">
    <w:name w:val="Заголовок 3 Знак"/>
    <w:basedOn w:val="a0"/>
    <w:link w:val="3"/>
    <w:rsid w:val="00D326EE"/>
    <w:rPr>
      <w:rFonts w:ascii="Times New Roman" w:eastAsia="Times New Roman" w:hAnsi="Times New Roman" w:cs="Times New Roman"/>
      <w:sz w:val="26"/>
      <w:szCs w:val="20"/>
      <w:lang w:eastAsia="uk-UA"/>
    </w:rPr>
  </w:style>
  <w:style w:type="character" w:customStyle="1" w:styleId="40">
    <w:name w:val="Заголовок 4 Знак"/>
    <w:basedOn w:val="a0"/>
    <w:link w:val="4"/>
    <w:rsid w:val="00D326EE"/>
    <w:rPr>
      <w:rFonts w:ascii="Times New Roman" w:eastAsia="Times New Roman" w:hAnsi="Times New Roman" w:cs="Times New Roman"/>
      <w:sz w:val="26"/>
      <w:szCs w:val="20"/>
      <w:lang w:eastAsia="uk-UA"/>
    </w:rPr>
  </w:style>
  <w:style w:type="character" w:customStyle="1" w:styleId="50">
    <w:name w:val="Заголовок 5 Знак"/>
    <w:basedOn w:val="a0"/>
    <w:link w:val="5"/>
    <w:rsid w:val="00D326EE"/>
    <w:rPr>
      <w:rFonts w:ascii="Times New Roman" w:eastAsia="Times New Roman" w:hAnsi="Times New Roman" w:cs="Times New Roman"/>
      <w:sz w:val="26"/>
      <w:szCs w:val="20"/>
      <w:lang w:eastAsia="uk-UA"/>
    </w:rPr>
  </w:style>
  <w:style w:type="character" w:customStyle="1" w:styleId="60">
    <w:name w:val="Заголовок 6 Знак"/>
    <w:basedOn w:val="a0"/>
    <w:link w:val="6"/>
    <w:rsid w:val="00D326EE"/>
    <w:rPr>
      <w:rFonts w:ascii="Times New Roman" w:eastAsia="Times New Roman" w:hAnsi="Times New Roman" w:cs="Times New Roman"/>
      <w:i/>
      <w:szCs w:val="20"/>
      <w:lang w:eastAsia="uk-UA"/>
    </w:rPr>
  </w:style>
  <w:style w:type="character" w:customStyle="1" w:styleId="70">
    <w:name w:val="Заголовок 7 Знак"/>
    <w:basedOn w:val="a0"/>
    <w:link w:val="7"/>
    <w:rsid w:val="00D326EE"/>
    <w:rPr>
      <w:rFonts w:ascii="Arial" w:eastAsia="Times New Roman" w:hAnsi="Arial" w:cs="Times New Roman"/>
      <w:sz w:val="20"/>
      <w:szCs w:val="20"/>
      <w:lang w:eastAsia="uk-UA"/>
    </w:rPr>
  </w:style>
  <w:style w:type="character" w:customStyle="1" w:styleId="80">
    <w:name w:val="Заголовок 8 Знак"/>
    <w:basedOn w:val="a0"/>
    <w:link w:val="8"/>
    <w:rsid w:val="00D326EE"/>
    <w:rPr>
      <w:rFonts w:ascii="Arial" w:eastAsia="Times New Roman" w:hAnsi="Arial" w:cs="Times New Roman"/>
      <w:i/>
      <w:sz w:val="20"/>
      <w:szCs w:val="20"/>
      <w:lang w:eastAsia="uk-UA"/>
    </w:rPr>
  </w:style>
  <w:style w:type="character" w:customStyle="1" w:styleId="90">
    <w:name w:val="Заголовок 9 Знак"/>
    <w:basedOn w:val="a0"/>
    <w:link w:val="9"/>
    <w:rsid w:val="00D326EE"/>
    <w:rPr>
      <w:rFonts w:ascii="Arial" w:eastAsia="Times New Roman" w:hAnsi="Arial" w:cs="Times New Roman"/>
      <w:b/>
      <w:i/>
      <w:sz w:val="18"/>
      <w:szCs w:val="20"/>
      <w:lang w:eastAsia="uk-UA"/>
    </w:rPr>
  </w:style>
  <w:style w:type="character" w:styleId="a3">
    <w:name w:val="Hyperlink"/>
    <w:rsid w:val="00D326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26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33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33E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38093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8093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809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8093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809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178-2022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7458A-6946-4EED-839E-D4AFC5B9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6835</Words>
  <Characters>3896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Гаврилова Світлана Сергіївна</cp:lastModifiedBy>
  <cp:revision>13</cp:revision>
  <cp:lastPrinted>2024-07-31T13:46:00Z</cp:lastPrinted>
  <dcterms:created xsi:type="dcterms:W3CDTF">2024-08-12T06:23:00Z</dcterms:created>
  <dcterms:modified xsi:type="dcterms:W3CDTF">2024-11-06T09:26:00Z</dcterms:modified>
</cp:coreProperties>
</file>