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CB3039" w:rsidRDefault="00BF77BD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A72508" w:rsidRPr="00A72508">
        <w:rPr>
          <w:b/>
          <w:szCs w:val="24"/>
        </w:rPr>
        <w:t>19510000-4 по ДК 021:2015 – Гумові вироби (</w:t>
      </w:r>
      <w:r w:rsidR="005276E9" w:rsidRPr="005276E9">
        <w:rPr>
          <w:b/>
          <w:szCs w:val="24"/>
        </w:rPr>
        <w:t>Гумові вироби для вакуумних систем</w:t>
      </w:r>
      <w:r w:rsidR="006C7DF0" w:rsidRPr="006C7DF0">
        <w:rPr>
          <w:b/>
          <w:szCs w:val="24"/>
        </w:rPr>
        <w:t>)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BF77BD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BF77BD">
        <w:rPr>
          <w:b/>
          <w:bCs/>
          <w:szCs w:val="24"/>
          <w:bdr w:val="none" w:sz="0" w:space="0" w:color="auto" w:frame="1"/>
          <w:lang w:val="ru-RU" w:eastAsia="ru-RU"/>
        </w:rPr>
        <w:t>UA-2023-04-06-001472-a</w:t>
      </w:r>
    </w:p>
    <w:p w:rsidR="00BF77BD" w:rsidRDefault="00BF77BD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BF77BD" w:rsidRPr="00BF77BD" w:rsidRDefault="00BF77BD" w:rsidP="00BF77BD">
      <w:pPr>
        <w:spacing w:after="0" w:line="240" w:lineRule="auto"/>
        <w:rPr>
          <w:b/>
          <w:bCs/>
          <w:szCs w:val="24"/>
          <w:bdr w:val="none" w:sz="0" w:space="0" w:color="auto" w:frame="1"/>
          <w:lang w:val="ru-RU" w:eastAsia="ru-RU"/>
        </w:rPr>
      </w:pPr>
      <w:r>
        <w:rPr>
          <w:b/>
          <w:bCs/>
          <w:szCs w:val="24"/>
          <w:bdr w:val="none" w:sz="0" w:space="0" w:color="auto" w:frame="1"/>
          <w:lang w:val="ru-RU" w:eastAsia="ru-RU"/>
        </w:rPr>
        <w:t>06.04.2023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276E9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72508"/>
    <w:rsid w:val="00AB4F95"/>
    <w:rsid w:val="00AB52AA"/>
    <w:rsid w:val="00B35514"/>
    <w:rsid w:val="00B71BF6"/>
    <w:rsid w:val="00BC2087"/>
    <w:rsid w:val="00BE74E5"/>
    <w:rsid w:val="00BF77BD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2023-03-21T12:29:00Z</dcterms:created>
  <dcterms:modified xsi:type="dcterms:W3CDTF">2023-04-06T07:01:00Z</dcterms:modified>
</cp:coreProperties>
</file>