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4A" w:rsidRPr="00946B82" w:rsidRDefault="00FA7BD6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Обґрунтування технічних та якісних характеристик предмета закупівлі,</w:t>
      </w:r>
    </w:p>
    <w:p w:rsidR="001F114A" w:rsidRDefault="00FA7BD6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очікуваної вартості</w:t>
      </w:r>
    </w:p>
    <w:p w:rsidR="00946B82" w:rsidRPr="00946B82" w:rsidRDefault="00946B82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D735EB" w:rsidRDefault="00FA7BD6" w:rsidP="00D735EB">
      <w:pPr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946B82">
        <w:rPr>
          <w:rStyle w:val="a5"/>
          <w:rFonts w:eastAsia="Courier New"/>
          <w:sz w:val="26"/>
          <w:szCs w:val="26"/>
        </w:rPr>
        <w:t xml:space="preserve">Предмет закупівлі: </w:t>
      </w:r>
      <w:r w:rsidR="00D735EB">
        <w:rPr>
          <w:rFonts w:ascii="Times New Roman" w:hAnsi="Times New Roman" w:cs="Times New Roman"/>
          <w:spacing w:val="1"/>
          <w:sz w:val="26"/>
          <w:szCs w:val="26"/>
        </w:rPr>
        <w:t>ДК 021:2015  72260000-5 Послуги, пов’язані з програмним забезпеченням (Надання права на використання комп'ютерної програми «СТРАБІС ВЕБ»)</w:t>
      </w:r>
    </w:p>
    <w:p w:rsidR="00946B82" w:rsidRPr="00946B82" w:rsidRDefault="00946B82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</w:p>
    <w:p w:rsidR="001D2D0D" w:rsidRPr="001D2D0D" w:rsidRDefault="00FA7BD6" w:rsidP="001D2D0D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rStyle w:val="a5"/>
          <w:sz w:val="26"/>
          <w:szCs w:val="26"/>
        </w:rPr>
        <w:t>Технічні та якісні характеристики предмета закупівлі:</w:t>
      </w:r>
      <w:r w:rsidR="00BD2590">
        <w:rPr>
          <w:rStyle w:val="a5"/>
          <w:sz w:val="26"/>
          <w:szCs w:val="26"/>
        </w:rPr>
        <w:t xml:space="preserve"> </w:t>
      </w:r>
      <w:r w:rsidR="001D2D0D" w:rsidRPr="001D2D0D">
        <w:rPr>
          <w:sz w:val="26"/>
          <w:szCs w:val="26"/>
        </w:rPr>
        <w:t>комп'ютерна програма «СТРАБІС ВЕБ » використовується підрозділами дирекції Компанії для аналітичного пошуку і обробки інформації, що міститься в інформаційних масивах різного типу, як структурованих (баз даних), так і неструктурованих (масиви Інтернет).</w:t>
      </w:r>
    </w:p>
    <w:p w:rsidR="001D2D0D" w:rsidRDefault="001D2D0D" w:rsidP="001D2D0D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1D2D0D">
        <w:rPr>
          <w:sz w:val="26"/>
          <w:szCs w:val="26"/>
        </w:rPr>
        <w:t>Комп'ютерна програма «СТРАБІС ВЕБ» надає можливість глибокого і всебічного аналізу юридичних і фізичних осіб, має наявні аналітичні інструменти фінансово- економічного аналізу і оцінки ризиків та інструменти для оброблення такої інформації</w:t>
      </w:r>
    </w:p>
    <w:p w:rsidR="001F114A" w:rsidRDefault="00FA7BD6" w:rsidP="001D2D0D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946B82">
        <w:rPr>
          <w:sz w:val="26"/>
          <w:szCs w:val="26"/>
        </w:rPr>
        <w:t>Детальний опис технічних та якісних характеристик визначений у Технічній специфікації до предмета закупівлі.</w:t>
      </w:r>
    </w:p>
    <w:p w:rsidR="00946B82" w:rsidRPr="00946B82" w:rsidRDefault="00946B82" w:rsidP="00946B82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1F114A" w:rsidRDefault="00FA7BD6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rStyle w:val="a5"/>
          <w:sz w:val="26"/>
          <w:szCs w:val="26"/>
        </w:rPr>
        <w:t xml:space="preserve">Очікувана вартість предмета закупівлі: </w:t>
      </w:r>
      <w:r w:rsidRPr="00946B82">
        <w:rPr>
          <w:sz w:val="26"/>
          <w:szCs w:val="26"/>
        </w:rPr>
        <w:t>очікувана вартість закупівлі визначена відповідно до вимог чинного законодавства України.</w:t>
      </w:r>
    </w:p>
    <w:p w:rsidR="00D735EB" w:rsidRPr="00946B82" w:rsidRDefault="00D735EB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</w:p>
    <w:p w:rsidR="00946B82" w:rsidRDefault="00FA7BD6" w:rsidP="00F019D1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Посилання на процедуру закупівлі в електронній системі закупівель</w:t>
      </w:r>
      <w:r w:rsidR="00F019D1">
        <w:rPr>
          <w:sz w:val="26"/>
          <w:szCs w:val="26"/>
        </w:rPr>
        <w:t xml:space="preserve"> </w:t>
      </w:r>
      <w:hyperlink r:id="rId6" w:history="1">
        <w:r w:rsidR="00F019D1" w:rsidRPr="00D43D7E">
          <w:rPr>
            <w:rStyle w:val="a3"/>
            <w:sz w:val="26"/>
            <w:szCs w:val="26"/>
          </w:rPr>
          <w:t>https://prozorro.gov.ua/tender/UA-2023-12-13-003380-a</w:t>
        </w:r>
      </w:hyperlink>
      <w:r w:rsidR="00F019D1">
        <w:rPr>
          <w:sz w:val="26"/>
          <w:szCs w:val="26"/>
        </w:rPr>
        <w:t xml:space="preserve"> </w:t>
      </w:r>
      <w:bookmarkStart w:id="0" w:name="_GoBack"/>
      <w:bookmarkEnd w:id="0"/>
      <w:r w:rsidR="00F019D1">
        <w:rPr>
          <w:sz w:val="26"/>
          <w:szCs w:val="26"/>
        </w:rPr>
        <w:t xml:space="preserve"> </w:t>
      </w: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BD2590" w:rsidRDefault="00BD2590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BD2590" w:rsidRDefault="00BD2590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BD2590" w:rsidRDefault="00BD2590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BD2590" w:rsidRDefault="00BD2590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BD2590" w:rsidRDefault="00BD2590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BD2590" w:rsidRDefault="00BD2590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BD2590" w:rsidRDefault="00BD2590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sectPr w:rsidR="00BD2590" w:rsidSect="00946B82">
      <w:type w:val="continuous"/>
      <w:pgSz w:w="11909" w:h="16834"/>
      <w:pgMar w:top="1418" w:right="569" w:bottom="47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D6" w:rsidRDefault="00FA7BD6">
      <w:r>
        <w:separator/>
      </w:r>
    </w:p>
  </w:endnote>
  <w:endnote w:type="continuationSeparator" w:id="0">
    <w:p w:rsidR="00FA7BD6" w:rsidRDefault="00FA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D6" w:rsidRDefault="00FA7BD6"/>
  </w:footnote>
  <w:footnote w:type="continuationSeparator" w:id="0">
    <w:p w:rsidR="00FA7BD6" w:rsidRDefault="00FA7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A"/>
    <w:rsid w:val="001D2D0D"/>
    <w:rsid w:val="001F114A"/>
    <w:rsid w:val="006B4568"/>
    <w:rsid w:val="00946B82"/>
    <w:rsid w:val="00BD2590"/>
    <w:rsid w:val="00C760C6"/>
    <w:rsid w:val="00D735EB"/>
    <w:rsid w:val="00F019D1"/>
    <w:rsid w:val="00F61645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F38"/>
  <w15:docId w15:val="{0558D89C-EF86-4385-A4C2-A8A2121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Подпись к картинке + 8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pt">
    <w:name w:val="Подпись к картинке + 4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Основной текст"/>
    <w:basedOn w:val="a"/>
    <w:rsid w:val="00BD2590"/>
    <w:pPr>
      <w:shd w:val="clear" w:color="auto" w:fill="FFFFFF"/>
      <w:spacing w:before="360" w:after="60" w:line="302" w:lineRule="exact"/>
    </w:pPr>
    <w:rPr>
      <w:rFonts w:ascii="Times New Roman" w:eastAsia="Times New Roman" w:hAnsi="Times New Roman" w:cs="Times New Roman"/>
      <w:color w:val="auto"/>
      <w:spacing w:val="4"/>
      <w:sz w:val="23"/>
      <w:szCs w:val="23"/>
    </w:rPr>
  </w:style>
  <w:style w:type="paragraph" w:styleId="a9">
    <w:name w:val="No Spacing"/>
    <w:uiPriority w:val="1"/>
    <w:qFormat/>
    <w:rsid w:val="00BD2590"/>
    <w:rPr>
      <w:color w:val="000000"/>
    </w:rPr>
  </w:style>
  <w:style w:type="paragraph" w:styleId="aa">
    <w:name w:val="Subtitle"/>
    <w:basedOn w:val="a"/>
    <w:next w:val="a"/>
    <w:link w:val="ab"/>
    <w:uiPriority w:val="11"/>
    <w:qFormat/>
    <w:rsid w:val="001D2D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ідзаголовок Знак"/>
    <w:basedOn w:val="a0"/>
    <w:link w:val="aa"/>
    <w:uiPriority w:val="11"/>
    <w:rsid w:val="001D2D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2-13-003380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Sdpr-10042522121212591</vt:lpstr>
      <vt:lpstr>Sdpr-10042522121212591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Sdpr-10042522121212591</dc:title>
  <dc:subject/>
  <dc:creator>Бабченко Олексій Іванович</dc:creator>
  <cp:keywords/>
  <cp:lastModifiedBy>Думенко Анатолій Миколайович</cp:lastModifiedBy>
  <cp:revision>6</cp:revision>
  <dcterms:created xsi:type="dcterms:W3CDTF">2023-12-06T11:59:00Z</dcterms:created>
  <dcterms:modified xsi:type="dcterms:W3CDTF">2023-12-13T08:26:00Z</dcterms:modified>
</cp:coreProperties>
</file>