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083BC2" w:rsidRPr="00083BC2">
        <w:rPr>
          <w:b/>
          <w:szCs w:val="26"/>
        </w:rPr>
        <w:t>ДК 021:2015 - 71330000-0  Інженерні послуги різні</w:t>
      </w:r>
      <w:r w:rsidR="00083BC2" w:rsidRPr="006840B1">
        <w:rPr>
          <w:szCs w:val="26"/>
        </w:rPr>
        <w:t xml:space="preserve"> (Проведення державної експертизи ядерної та радіаційної безпеки  документації, що направляється </w:t>
      </w:r>
      <w:r w:rsidR="00083BC2" w:rsidRPr="006840B1">
        <w:rPr>
          <w:szCs w:val="26"/>
          <w:lang w:eastAsia="uk-UA"/>
        </w:rPr>
        <w:t xml:space="preserve">Дирекцією ДП «НАЕК «Енергоатом» до </w:t>
      </w:r>
      <w:r w:rsidR="00083BC2" w:rsidRPr="006840B1">
        <w:rPr>
          <w:szCs w:val="26"/>
        </w:rPr>
        <w:t>Держатомрегулювання на погодження</w:t>
      </w:r>
      <w:r w:rsidR="00083BC2">
        <w:rPr>
          <w:szCs w:val="26"/>
        </w:rPr>
        <w:t>)</w:t>
      </w:r>
    </w:p>
    <w:p w:rsidR="000B2BBB" w:rsidRPr="009B1BE8" w:rsidRDefault="00B97AC9" w:rsidP="00F900B7">
      <w:pPr>
        <w:spacing w:line="240" w:lineRule="auto"/>
        <w:jc w:val="both"/>
        <w:rPr>
          <w:color w:val="000000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0B2BBB" w:rsidRPr="00B36FB8">
        <w:rPr>
          <w:color w:val="000000"/>
          <w:szCs w:val="26"/>
        </w:rPr>
        <w:t xml:space="preserve">Метою послуги є </w:t>
      </w:r>
      <w:r w:rsidR="00671B4B">
        <w:rPr>
          <w:szCs w:val="26"/>
        </w:rPr>
        <w:t>п</w:t>
      </w:r>
      <w:r w:rsidR="00671B4B" w:rsidRPr="00DF331A">
        <w:rPr>
          <w:szCs w:val="26"/>
        </w:rPr>
        <w:t>роведення державної експертизи ядерної та радіаційної безпеки документації, що направляється Дирекцією ДП «НАЕК «Енергоатом» до Держатомрегулювання на погодження</w:t>
      </w:r>
      <w:r w:rsidR="000B2BBB" w:rsidRPr="009B1BE8">
        <w:rPr>
          <w:color w:val="000000"/>
          <w:szCs w:val="26"/>
        </w:rPr>
        <w:t>.</w:t>
      </w:r>
      <w:r w:rsidR="00F900B7">
        <w:rPr>
          <w:color w:val="000000"/>
          <w:szCs w:val="26"/>
        </w:rPr>
        <w:t xml:space="preserve"> Зміни в документацію вносяться через необхідність </w:t>
      </w:r>
      <w:r w:rsidR="00F900B7" w:rsidRPr="001370CA">
        <w:rPr>
          <w:szCs w:val="26"/>
        </w:rPr>
        <w:t>удосконале</w:t>
      </w:r>
      <w:r w:rsidR="00F900B7">
        <w:rPr>
          <w:szCs w:val="26"/>
        </w:rPr>
        <w:t>ння протиаварійної документації</w:t>
      </w:r>
      <w:r w:rsidR="00F900B7">
        <w:rPr>
          <w:szCs w:val="26"/>
        </w:rPr>
        <w:t xml:space="preserve">, </w:t>
      </w:r>
      <w:r w:rsidR="00F900B7">
        <w:rPr>
          <w:szCs w:val="26"/>
        </w:rPr>
        <w:t>внесення змін в типову експлуатаційну документацію</w:t>
      </w:r>
      <w:r w:rsidR="00F900B7">
        <w:rPr>
          <w:szCs w:val="26"/>
        </w:rPr>
        <w:t xml:space="preserve"> тощо.</w:t>
      </w:r>
    </w:p>
    <w:p w:rsidR="000B2BBB" w:rsidRPr="000B2BBB" w:rsidRDefault="00671B4B" w:rsidP="000B2BB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Cs w:val="26"/>
        </w:rPr>
      </w:pPr>
      <w:r>
        <w:rPr>
          <w:szCs w:val="26"/>
        </w:rPr>
        <w:t>В</w:t>
      </w:r>
      <w:r w:rsidR="000B2BBB" w:rsidRPr="000B2BBB">
        <w:rPr>
          <w:szCs w:val="26"/>
        </w:rPr>
        <w:t xml:space="preserve">иконання даної </w:t>
      </w:r>
      <w:r>
        <w:rPr>
          <w:szCs w:val="26"/>
        </w:rPr>
        <w:t xml:space="preserve">послуги </w:t>
      </w:r>
      <w:r w:rsidR="000B2BBB" w:rsidRPr="000B2BBB">
        <w:rPr>
          <w:szCs w:val="26"/>
        </w:rPr>
        <w:t xml:space="preserve">дозволить забезпечити ядерну та радіаційну небезпеку </w:t>
      </w:r>
      <w:r w:rsidR="00126D1F">
        <w:rPr>
          <w:szCs w:val="26"/>
        </w:rPr>
        <w:t xml:space="preserve">енергоблоків АЕС </w:t>
      </w:r>
      <w:r w:rsidR="000B2BBB" w:rsidRPr="000B2BBB">
        <w:rPr>
          <w:szCs w:val="26"/>
        </w:rPr>
        <w:t>для здоров’я людини та довкілля. Таким чином, виконання роботи пов’язане з забезпеченням регуляторної та експертної діяльності.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 xml:space="preserve">Детальний опис </w:t>
      </w:r>
      <w:r w:rsidR="00126D1F">
        <w:t xml:space="preserve">послуг в кожному конкретному випадку визначається окремим ТЗ, яке погоджується ДП «НАЕК «Енергоатом» та ДП ДНТЦ ЯРБ. Таким чином, </w:t>
      </w:r>
      <w:r w:rsidR="00126D1F">
        <w:t>кожна</w:t>
      </w:r>
      <w:r w:rsidR="00126D1F">
        <w:t xml:space="preserve"> експертиз</w:t>
      </w:r>
      <w:r w:rsidR="00126D1F">
        <w:t>а</w:t>
      </w:r>
      <w:r w:rsidR="00126D1F">
        <w:t xml:space="preserve"> відрізняється одна від одної та залежить від складності експертизи, новизни матеріалів, кількості аркушів документу, що направляється Компанією в ДІЯРУ на погодження</w:t>
      </w:r>
      <w:r w:rsidR="00126D1F" w:rsidRPr="00BF6CE4">
        <w:t xml:space="preserve"> </w:t>
      </w:r>
      <w:r w:rsidR="00126D1F">
        <w:t>та необхідності розробки незалежних моделей (у разі проведення перевірочних розрахунків)</w:t>
      </w:r>
      <w:r w:rsidR="001D6411">
        <w:rPr>
          <w:rFonts w:cs="Times New Roman"/>
          <w:szCs w:val="26"/>
        </w:rPr>
        <w:t>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закупівель</w:t>
      </w:r>
      <w:r w:rsidR="00774AE2">
        <w:rPr>
          <w:szCs w:val="26"/>
        </w:rPr>
        <w:t>:</w:t>
      </w:r>
      <w:r w:rsidR="00083BC2">
        <w:rPr>
          <w:szCs w:val="26"/>
        </w:rPr>
        <w:t xml:space="preserve"> </w:t>
      </w:r>
      <w:hyperlink r:id="rId5" w:history="1">
        <w:r w:rsidR="00671B4B" w:rsidRPr="00E60252">
          <w:rPr>
            <w:rStyle w:val="a8"/>
            <w:szCs w:val="26"/>
          </w:rPr>
          <w:t>https://prozorro.gov.ua/tender/UA-2022-07-06-000759-a</w:t>
        </w:r>
      </w:hyperlink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21235C" w:rsidRDefault="0021235C" w:rsidP="0021235C">
      <w:pPr>
        <w:pStyle w:val="1"/>
        <w:tabs>
          <w:tab w:val="clear" w:pos="709"/>
          <w:tab w:val="clear" w:pos="8505"/>
          <w:tab w:val="left" w:pos="7797"/>
        </w:tabs>
        <w:spacing w:before="240"/>
        <w:ind w:left="0"/>
        <w:rPr>
          <w:lang w:val="uk-UA"/>
        </w:rPr>
      </w:pPr>
    </w:p>
    <w:p w:rsidR="0021235C" w:rsidRPr="0021235C" w:rsidRDefault="0021235C" w:rsidP="0021235C">
      <w:pPr>
        <w:pStyle w:val="a6"/>
        <w:tabs>
          <w:tab w:val="num" w:pos="540"/>
        </w:tabs>
        <w:spacing w:after="0"/>
        <w:ind w:left="540" w:hanging="540"/>
        <w:jc w:val="both"/>
        <w:rPr>
          <w:lang w:val="uk-UA"/>
        </w:rPr>
      </w:pPr>
    </w:p>
    <w:sectPr w:rsidR="0021235C" w:rsidRPr="00212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981"/>
    <w:multiLevelType w:val="hybridMultilevel"/>
    <w:tmpl w:val="29842E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B13595"/>
    <w:multiLevelType w:val="multilevel"/>
    <w:tmpl w:val="A6AC9F4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7401110B"/>
    <w:multiLevelType w:val="hybridMultilevel"/>
    <w:tmpl w:val="FA681D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83BC2"/>
    <w:rsid w:val="000B2BBB"/>
    <w:rsid w:val="00126D1F"/>
    <w:rsid w:val="001433DF"/>
    <w:rsid w:val="0019533D"/>
    <w:rsid w:val="001A436A"/>
    <w:rsid w:val="001D6411"/>
    <w:rsid w:val="0021235C"/>
    <w:rsid w:val="00213F11"/>
    <w:rsid w:val="00311313"/>
    <w:rsid w:val="0054348B"/>
    <w:rsid w:val="005A31D8"/>
    <w:rsid w:val="00671B4B"/>
    <w:rsid w:val="00726420"/>
    <w:rsid w:val="0073461F"/>
    <w:rsid w:val="00774AE2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D83FF3"/>
    <w:rsid w:val="00D94A80"/>
    <w:rsid w:val="00DD4DAC"/>
    <w:rsid w:val="00E40984"/>
    <w:rsid w:val="00F10D4A"/>
    <w:rsid w:val="00F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2BBB"/>
    <w:pPr>
      <w:ind w:left="720"/>
      <w:contextualSpacing/>
    </w:pPr>
  </w:style>
  <w:style w:type="paragraph" w:customStyle="1" w:styleId="1">
    <w:name w:val="Абзац списку1"/>
    <w:basedOn w:val="a"/>
    <w:rsid w:val="0021235C"/>
    <w:pPr>
      <w:widowControl w:val="0"/>
      <w:tabs>
        <w:tab w:val="left" w:pos="709"/>
        <w:tab w:val="left" w:leader="dot" w:pos="8505"/>
      </w:tabs>
      <w:spacing w:after="0" w:line="240" w:lineRule="auto"/>
      <w:ind w:left="720"/>
      <w:contextualSpacing/>
      <w:jc w:val="both"/>
    </w:pPr>
    <w:rPr>
      <w:rFonts w:eastAsia="Times New Roman" w:cs="Times New Roman"/>
      <w:szCs w:val="26"/>
      <w:lang w:val="ru-RU" w:eastAsia="ru-RU"/>
    </w:rPr>
  </w:style>
  <w:style w:type="paragraph" w:styleId="a6">
    <w:name w:val="Body Text"/>
    <w:basedOn w:val="a"/>
    <w:link w:val="a7"/>
    <w:rsid w:val="0021235C"/>
    <w:pPr>
      <w:spacing w:after="12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21235C"/>
    <w:rPr>
      <w:rFonts w:eastAsia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7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7-06-0007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4</cp:revision>
  <cp:lastPrinted>2021-11-01T12:23:00Z</cp:lastPrinted>
  <dcterms:created xsi:type="dcterms:W3CDTF">2021-10-29T08:52:00Z</dcterms:created>
  <dcterms:modified xsi:type="dcterms:W3CDTF">2021-11-18T06:42:00Z</dcterms:modified>
</cp:coreProperties>
</file>